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2DEA5" w14:textId="77777777" w:rsidR="00C16D55" w:rsidRDefault="00C16D55" w:rsidP="003834A1">
      <w:pPr>
        <w:pStyle w:val="Rubrik3"/>
      </w:pPr>
    </w:p>
    <w:sdt>
      <w:sdtPr>
        <w:alias w:val="Dokumenttitel"/>
        <w:tag w:val="Dokumenttitel"/>
        <w:id w:val="-2128619653"/>
        <w:lock w:val="sdtLocked"/>
        <w:placeholder>
          <w:docPart w:val="EB35E3BEB2904614A3F304350753A9C5"/>
        </w:placeholder>
        <w:dataBinding w:prefixMappings="xmlns:ns0='http://purl.org/dc/elements/1.1/' xmlns:ns1='http://schemas.openxmlformats.org/package/2006/metadata/core-properties' " w:xpath="/ns1:coreProperties[1]/ns0:title[1]" w:storeItemID="{6C3C8BC8-F283-45AE-878A-BAB7291924A1}"/>
        <w:text/>
      </w:sdtPr>
      <w:sdtEndPr/>
      <w:sdtContent>
        <w:p w14:paraId="44A45907" w14:textId="01B7296D" w:rsidR="00A20A26" w:rsidRDefault="00DC5492" w:rsidP="002D3AAC">
          <w:pPr>
            <w:pStyle w:val="Rubrik1"/>
          </w:pPr>
          <w:r>
            <w:t>Fördelningsprinciper för forskningsanslaget 2026</w:t>
          </w:r>
        </w:p>
      </w:sdtContent>
    </w:sdt>
    <w:p w14:paraId="3D26645D" w14:textId="00488B75" w:rsidR="00AC00EB" w:rsidRDefault="00AC00EB" w:rsidP="00D451AB">
      <w:pPr>
        <w:pStyle w:val="Rubrik2"/>
      </w:pPr>
      <w:r>
        <w:t>Förslag</w:t>
      </w:r>
    </w:p>
    <w:p w14:paraId="553131AB" w14:textId="685EE4BF" w:rsidR="00DC5492" w:rsidRDefault="00DC5492" w:rsidP="004F13F9">
      <w:pPr>
        <w:tabs>
          <w:tab w:val="left" w:pos="5175"/>
        </w:tabs>
      </w:pPr>
      <w:r>
        <w:t xml:space="preserve">En arbetsgrupp under Utbildnings- och forskningsnämnden </w:t>
      </w:r>
      <w:r w:rsidR="007D7D19">
        <w:t xml:space="preserve">(UFN) </w:t>
      </w:r>
      <w:r>
        <w:t>lämnar nedanstående förslag inför forskningsanslagsfördelningen år 2026:</w:t>
      </w:r>
    </w:p>
    <w:p w14:paraId="4B5FD29A" w14:textId="3F2F4C90" w:rsidR="00D451AB" w:rsidRDefault="00DC5492" w:rsidP="00DC5492">
      <w:pPr>
        <w:pStyle w:val="Liststycke"/>
        <w:numPr>
          <w:ilvl w:val="0"/>
          <w:numId w:val="19"/>
        </w:numPr>
        <w:tabs>
          <w:tab w:val="left" w:pos="5175"/>
        </w:tabs>
      </w:pPr>
      <w:r w:rsidRPr="00DC5492">
        <w:rPr>
          <w:u w:val="single"/>
        </w:rPr>
        <w:t>E</w:t>
      </w:r>
      <w:r w:rsidR="004F13F9" w:rsidRPr="00DC5492">
        <w:rPr>
          <w:u w:val="single"/>
        </w:rPr>
        <w:t>ventuell ändring av storleken på rektors reserv</w:t>
      </w:r>
      <w:r w:rsidR="00D451AB" w:rsidRPr="00DC5492">
        <w:rPr>
          <w:u w:val="single"/>
        </w:rPr>
        <w:t>:</w:t>
      </w:r>
      <w:r w:rsidR="00D451AB">
        <w:t xml:space="preserve"> O</w:t>
      </w:r>
      <w:r w:rsidR="00D451AB" w:rsidRPr="00D451AB">
        <w:t>förbrukade medel i rektors reserv bör fördelas ut till institutionerna som basanslag</w:t>
      </w:r>
      <w:r>
        <w:t>.</w:t>
      </w:r>
    </w:p>
    <w:p w14:paraId="4A88959D" w14:textId="6B421E12" w:rsidR="00D451AB" w:rsidRDefault="00DC5492" w:rsidP="00DC5492">
      <w:pPr>
        <w:pStyle w:val="Liststycke"/>
        <w:numPr>
          <w:ilvl w:val="0"/>
          <w:numId w:val="19"/>
        </w:numPr>
        <w:tabs>
          <w:tab w:val="left" w:pos="5175"/>
        </w:tabs>
      </w:pPr>
      <w:r w:rsidRPr="00DC5492">
        <w:rPr>
          <w:u w:val="single"/>
        </w:rPr>
        <w:t>E</w:t>
      </w:r>
      <w:r w:rsidR="004F13F9" w:rsidRPr="00DC5492">
        <w:rPr>
          <w:u w:val="single"/>
        </w:rPr>
        <w:t>ventuell viktning av publikationer baserat på tidskrifters ranking</w:t>
      </w:r>
      <w:r w:rsidR="00752613" w:rsidRPr="00DC5492">
        <w:rPr>
          <w:u w:val="single"/>
        </w:rPr>
        <w:t>:</w:t>
      </w:r>
      <w:r w:rsidR="00752613">
        <w:t xml:space="preserve"> R</w:t>
      </w:r>
      <w:r w:rsidR="00752613" w:rsidRPr="00752613">
        <w:t>anking enligt olika listor bör ingå i uppföljning men inte i samband med medelsfördelning</w:t>
      </w:r>
      <w:r w:rsidR="007D7D19">
        <w:t>en</w:t>
      </w:r>
      <w:r>
        <w:t>.</w:t>
      </w:r>
    </w:p>
    <w:p w14:paraId="5EACFF4A" w14:textId="3D3FBB09" w:rsidR="00D451AB" w:rsidRDefault="00DC5492" w:rsidP="00DC5492">
      <w:pPr>
        <w:pStyle w:val="Liststycke"/>
        <w:numPr>
          <w:ilvl w:val="0"/>
          <w:numId w:val="19"/>
        </w:numPr>
        <w:tabs>
          <w:tab w:val="left" w:pos="5175"/>
        </w:tabs>
      </w:pPr>
      <w:r w:rsidRPr="00DC5492">
        <w:rPr>
          <w:u w:val="single"/>
        </w:rPr>
        <w:t>B</w:t>
      </w:r>
      <w:r w:rsidR="00752613" w:rsidRPr="00DC5492">
        <w:rPr>
          <w:u w:val="single"/>
        </w:rPr>
        <w:t>eräkning vid</w:t>
      </w:r>
      <w:r w:rsidR="004F13F9" w:rsidRPr="00DC5492">
        <w:rPr>
          <w:u w:val="single"/>
        </w:rPr>
        <w:t xml:space="preserve"> sampubliceringar</w:t>
      </w:r>
      <w:r w:rsidR="00752613" w:rsidRPr="00DC5492">
        <w:rPr>
          <w:u w:val="single"/>
        </w:rPr>
        <w:t>:</w:t>
      </w:r>
      <w:r w:rsidR="00752613">
        <w:t xml:space="preserve"> </w:t>
      </w:r>
      <w:r>
        <w:t>N</w:t>
      </w:r>
      <w:r w:rsidR="00752613">
        <w:t xml:space="preserve">uvarande modell där en </w:t>
      </w:r>
      <w:r w:rsidR="00752613" w:rsidRPr="00752613">
        <w:t xml:space="preserve">sampublikation </w:t>
      </w:r>
      <w:r w:rsidR="00752613">
        <w:t xml:space="preserve">räknas </w:t>
      </w:r>
      <w:r w:rsidR="00752613" w:rsidRPr="00752613">
        <w:t>som en publikation per institution vid Högskolan Dalarna</w:t>
      </w:r>
      <w:r>
        <w:t xml:space="preserve"> bör behållas.</w:t>
      </w:r>
    </w:p>
    <w:p w14:paraId="253D9250" w14:textId="31605E7E" w:rsidR="00752613" w:rsidRDefault="00DC5492" w:rsidP="00DC5492">
      <w:pPr>
        <w:pStyle w:val="Liststycke"/>
        <w:numPr>
          <w:ilvl w:val="0"/>
          <w:numId w:val="19"/>
        </w:numPr>
        <w:tabs>
          <w:tab w:val="left" w:pos="5175"/>
        </w:tabs>
      </w:pPr>
      <w:r w:rsidRPr="00DC5492">
        <w:rPr>
          <w:u w:val="single"/>
        </w:rPr>
        <w:t>B</w:t>
      </w:r>
      <w:r w:rsidR="00752613" w:rsidRPr="00DC5492">
        <w:rPr>
          <w:u w:val="single"/>
        </w:rPr>
        <w:t>asanslaget:</w:t>
      </w:r>
      <w:r w:rsidR="00752613">
        <w:t xml:space="preserve"> </w:t>
      </w:r>
      <w:r>
        <w:t>B</w:t>
      </w:r>
      <w:r w:rsidR="00752613" w:rsidRPr="00752613">
        <w:t>asanslagets fem ingående delar</w:t>
      </w:r>
      <w:r w:rsidR="00752613">
        <w:t xml:space="preserve"> bör</w:t>
      </w:r>
      <w:r w:rsidR="00752613" w:rsidRPr="00752613">
        <w:t xml:space="preserve"> viktas lika med 20 % vardera</w:t>
      </w:r>
      <w:r>
        <w:t>.</w:t>
      </w:r>
    </w:p>
    <w:p w14:paraId="1869F759" w14:textId="5915CC68" w:rsidR="00752613" w:rsidRDefault="00DC5492" w:rsidP="00DC5492">
      <w:pPr>
        <w:pStyle w:val="Liststycke"/>
        <w:numPr>
          <w:ilvl w:val="0"/>
          <w:numId w:val="19"/>
        </w:numPr>
        <w:tabs>
          <w:tab w:val="left" w:pos="5175"/>
        </w:tabs>
      </w:pPr>
      <w:r w:rsidRPr="00DC5492">
        <w:rPr>
          <w:u w:val="single"/>
        </w:rPr>
        <w:t>K</w:t>
      </w:r>
      <w:r w:rsidR="00752613" w:rsidRPr="00DC5492">
        <w:rPr>
          <w:u w:val="single"/>
        </w:rPr>
        <w:t>onferensbidrag:</w:t>
      </w:r>
      <w:r w:rsidR="00752613">
        <w:t xml:space="preserve"> </w:t>
      </w:r>
      <w:r>
        <w:t>R</w:t>
      </w:r>
      <w:r w:rsidR="00752613" w:rsidRPr="00752613">
        <w:t>efereegranskade konferensbidrag</w:t>
      </w:r>
      <w:r w:rsidR="00752613">
        <w:t xml:space="preserve"> bör</w:t>
      </w:r>
      <w:r w:rsidR="00752613" w:rsidRPr="00752613">
        <w:t xml:space="preserve"> ytterligare viktas ned och ges ¼ relativ viktning</w:t>
      </w:r>
      <w:r>
        <w:t>.</w:t>
      </w:r>
    </w:p>
    <w:p w14:paraId="5057BD56" w14:textId="344F9A4F" w:rsidR="00752613" w:rsidRDefault="00752613" w:rsidP="00DC5492">
      <w:pPr>
        <w:pStyle w:val="Liststycke"/>
        <w:numPr>
          <w:ilvl w:val="0"/>
          <w:numId w:val="19"/>
        </w:numPr>
        <w:tabs>
          <w:tab w:val="left" w:pos="5175"/>
        </w:tabs>
      </w:pPr>
      <w:r w:rsidRPr="00DC5492">
        <w:rPr>
          <w:u w:val="single"/>
        </w:rPr>
        <w:t>Samlingsverk:</w:t>
      </w:r>
      <w:r>
        <w:t xml:space="preserve"> ”</w:t>
      </w:r>
      <w:r w:rsidRPr="00752613">
        <w:t>Samlingsverk (redaktörskap)” bör premieras och på motsvarande sätt som böcker viktas med faktor 3</w:t>
      </w:r>
      <w:r w:rsidR="00DC5492">
        <w:t>.</w:t>
      </w:r>
    </w:p>
    <w:p w14:paraId="5EA67B63" w14:textId="117AAB6B" w:rsidR="00DC5492" w:rsidRDefault="00DC5492" w:rsidP="004F13F9">
      <w:pPr>
        <w:tabs>
          <w:tab w:val="left" w:pos="5175"/>
        </w:tabs>
      </w:pPr>
      <w:r>
        <w:t>Forskarutbildningsnämnden</w:t>
      </w:r>
      <w:r w:rsidR="007D7D19">
        <w:t xml:space="preserve"> (FUN)</w:t>
      </w:r>
      <w:r>
        <w:t xml:space="preserve"> lämnar nedanstående förslag inför forskningsanslagsfördelningen år 2026:</w:t>
      </w:r>
    </w:p>
    <w:p w14:paraId="077FF0BE" w14:textId="0BA55400" w:rsidR="00D451AB" w:rsidRDefault="00DC5492" w:rsidP="00DC5492">
      <w:pPr>
        <w:pStyle w:val="Liststycke"/>
        <w:numPr>
          <w:ilvl w:val="0"/>
          <w:numId w:val="20"/>
        </w:numPr>
        <w:tabs>
          <w:tab w:val="left" w:pos="5175"/>
        </w:tabs>
      </w:pPr>
      <w:r w:rsidRPr="00DC5492">
        <w:rPr>
          <w:u w:val="single"/>
        </w:rPr>
        <w:t>E</w:t>
      </w:r>
      <w:r w:rsidR="004F13F9" w:rsidRPr="00DC5492">
        <w:rPr>
          <w:u w:val="single"/>
        </w:rPr>
        <w:t>rsättning till institutionerna för omkostnader för forskarutbildningarna</w:t>
      </w:r>
      <w:r w:rsidRPr="00DC5492">
        <w:rPr>
          <w:u w:val="single"/>
        </w:rPr>
        <w:t>:</w:t>
      </w:r>
      <w:r>
        <w:t xml:space="preserve"> I samband med medelsfördelningen bör ersättningarna </w:t>
      </w:r>
      <w:r w:rsidR="007D7D19">
        <w:t xml:space="preserve">för omkostnader för forskarutbildningarna </w:t>
      </w:r>
      <w:r>
        <w:t>beräknas som fasta ersättningar i kombination med rörliga ersättningar per aktiv doktorand antagen till forskarutbildning vid Högskolan Dalarna.</w:t>
      </w:r>
    </w:p>
    <w:p w14:paraId="3837F133" w14:textId="50C2B139" w:rsidR="004F13F9" w:rsidRDefault="00DC5492" w:rsidP="00DC5492">
      <w:pPr>
        <w:pStyle w:val="Liststycke"/>
        <w:numPr>
          <w:ilvl w:val="0"/>
          <w:numId w:val="20"/>
        </w:numPr>
        <w:tabs>
          <w:tab w:val="left" w:pos="5175"/>
        </w:tabs>
      </w:pPr>
      <w:r w:rsidRPr="00DC5492">
        <w:rPr>
          <w:u w:val="single"/>
        </w:rPr>
        <w:t>E</w:t>
      </w:r>
      <w:r w:rsidR="004F13F9" w:rsidRPr="00DC5492">
        <w:rPr>
          <w:u w:val="single"/>
        </w:rPr>
        <w:t>rsättning till institutionerna för studierektorer inom forskarutbildningarna</w:t>
      </w:r>
      <w:r w:rsidRPr="00DC5492">
        <w:rPr>
          <w:u w:val="single"/>
        </w:rPr>
        <w:t>:</w:t>
      </w:r>
      <w:r>
        <w:t xml:space="preserve"> Institutioner med forskarutbildningsämnen bör i samband med medelsfördelningen få ersättning för att finansiera studierektorskapen inom forskarutbildningarna. Ersättningarna bör bestå av en fast ersättning per forskarutbildningsämne och en rörlig </w:t>
      </w:r>
      <w:r w:rsidR="007D7D19">
        <w:t>ersättning baserad på antalet aktiva doktorander antagna till forskarutbildning vid Högskolan Dalarna.</w:t>
      </w:r>
      <w:r>
        <w:t xml:space="preserve"> </w:t>
      </w:r>
    </w:p>
    <w:p w14:paraId="6C399B3D" w14:textId="522DA5DE" w:rsidR="00AC00EB" w:rsidRDefault="004F13F9" w:rsidP="007D7D19">
      <w:pPr>
        <w:pStyle w:val="Rubrik2"/>
      </w:pPr>
      <w:r>
        <w:t>Medskick</w:t>
      </w:r>
      <w:r w:rsidR="00DC5492">
        <w:t xml:space="preserve"> från arbetsgruppen under UFN</w:t>
      </w:r>
    </w:p>
    <w:p w14:paraId="61C21066" w14:textId="66C1A34D" w:rsidR="007D7D19" w:rsidRPr="00DC5492" w:rsidRDefault="007D7D19" w:rsidP="007D7D19">
      <w:pPr>
        <w:pStyle w:val="Liststycke"/>
        <w:numPr>
          <w:ilvl w:val="0"/>
          <w:numId w:val="21"/>
        </w:numPr>
      </w:pPr>
      <w:proofErr w:type="spellStart"/>
      <w:r w:rsidRPr="007D7D19">
        <w:rPr>
          <w:i/>
          <w:iCs/>
        </w:rPr>
        <w:t>Predatory</w:t>
      </w:r>
      <w:proofErr w:type="spellEnd"/>
      <w:r w:rsidRPr="007D7D19">
        <w:rPr>
          <w:i/>
          <w:iCs/>
        </w:rPr>
        <w:t xml:space="preserve"> </w:t>
      </w:r>
      <w:proofErr w:type="spellStart"/>
      <w:r w:rsidRPr="007D7D19">
        <w:rPr>
          <w:i/>
          <w:iCs/>
        </w:rPr>
        <w:t>publishers</w:t>
      </w:r>
      <w:proofErr w:type="spellEnd"/>
      <w:r w:rsidRPr="00DC5492">
        <w:t xml:space="preserve"> och </w:t>
      </w:r>
      <w:proofErr w:type="spellStart"/>
      <w:r w:rsidRPr="007D7D19">
        <w:rPr>
          <w:i/>
          <w:iCs/>
        </w:rPr>
        <w:t>predatory</w:t>
      </w:r>
      <w:proofErr w:type="spellEnd"/>
      <w:r w:rsidRPr="007D7D19">
        <w:rPr>
          <w:i/>
          <w:iCs/>
        </w:rPr>
        <w:t xml:space="preserve"> journals</w:t>
      </w:r>
      <w:r w:rsidRPr="00DC5492">
        <w:t xml:space="preserve"> utgör problem för lärosäten och Högskolan Dalarna </w:t>
      </w:r>
      <w:r>
        <w:t xml:space="preserve">bör </w:t>
      </w:r>
      <w:r w:rsidRPr="00DC5492">
        <w:t xml:space="preserve">utreda hur pass frekvent denna typ av publicering är vid lärosätet samt vid behov vidta åtgärder. </w:t>
      </w:r>
    </w:p>
    <w:p w14:paraId="6CFC0792" w14:textId="6A8E61F2" w:rsidR="007D7D19" w:rsidRDefault="007D7D19" w:rsidP="007D7D19">
      <w:pPr>
        <w:pStyle w:val="Liststycke"/>
        <w:numPr>
          <w:ilvl w:val="0"/>
          <w:numId w:val="21"/>
        </w:numPr>
      </w:pPr>
      <w:r w:rsidRPr="00DC5492">
        <w:t>Inför framtida översyn av fördelningsnycklar bör utredning göras avseende hur stor del av projekten med externa forskningsmedel som inbegriper samverkan</w:t>
      </w:r>
      <w:r>
        <w:t xml:space="preserve"> samt vilka externa medel som </w:t>
      </w:r>
      <w:r w:rsidRPr="00DC5492">
        <w:t>ska räknas in</w:t>
      </w:r>
      <w:r>
        <w:t xml:space="preserve"> i samband med medelsfördelningen</w:t>
      </w:r>
      <w:r w:rsidRPr="00DC5492">
        <w:t>.</w:t>
      </w:r>
    </w:p>
    <w:p w14:paraId="7FBE7DA5" w14:textId="1D09E49E" w:rsidR="007D7D19" w:rsidRPr="00DC5492" w:rsidRDefault="007D7D19" w:rsidP="007D7D19">
      <w:pPr>
        <w:pStyle w:val="Liststycke"/>
        <w:numPr>
          <w:ilvl w:val="0"/>
          <w:numId w:val="21"/>
        </w:numPr>
      </w:pPr>
      <w:r>
        <w:t>K</w:t>
      </w:r>
      <w:r w:rsidRPr="00DC5492">
        <w:t xml:space="preserve">onsekvenser förknippade med arbetstidsavtalet </w:t>
      </w:r>
      <w:r>
        <w:t xml:space="preserve">bör </w:t>
      </w:r>
      <w:r w:rsidRPr="00DC5492">
        <w:t>regelbundet följas upp</w:t>
      </w:r>
      <w:r>
        <w:t>.</w:t>
      </w:r>
    </w:p>
    <w:p w14:paraId="77BC9853" w14:textId="1F9430AE" w:rsidR="00752613" w:rsidRPr="00DC5492" w:rsidRDefault="00752613" w:rsidP="007D7D19">
      <w:pPr>
        <w:pStyle w:val="Liststycke"/>
        <w:numPr>
          <w:ilvl w:val="0"/>
          <w:numId w:val="21"/>
        </w:numPr>
      </w:pPr>
      <w:r w:rsidRPr="00DC5492">
        <w:t>Det finns ett behov av en lärosätesgemensam definition för när ett konferensbidrag ska anses vara refereegranskat</w:t>
      </w:r>
      <w:r w:rsidR="007D7D19">
        <w:t>.</w:t>
      </w:r>
    </w:p>
    <w:p w14:paraId="2C8FFC68" w14:textId="2AD2DBDA" w:rsidR="007D7D19" w:rsidRDefault="007D7D19" w:rsidP="007D7D19">
      <w:pPr>
        <w:pStyle w:val="Liststycke"/>
        <w:numPr>
          <w:ilvl w:val="0"/>
          <w:numId w:val="21"/>
        </w:numPr>
        <w:tabs>
          <w:tab w:val="left" w:pos="5175"/>
        </w:tabs>
      </w:pPr>
      <w:r>
        <w:t xml:space="preserve">Efter utgången av år 2027 bör lärosätet överväga </w:t>
      </w:r>
      <w:r w:rsidRPr="00291AF3">
        <w:t xml:space="preserve">att </w:t>
      </w:r>
      <w:r>
        <w:t xml:space="preserve">minska </w:t>
      </w:r>
      <w:r w:rsidRPr="00291AF3">
        <w:t>avsättningen till rektors reserv och den strategiska delen från nuvarande 15 % (5 % + 10 %) till sammanlagt 10 %</w:t>
      </w:r>
      <w:r>
        <w:t>.</w:t>
      </w:r>
    </w:p>
    <w:p w14:paraId="676CBD50" w14:textId="402CA231" w:rsidR="007D7D19" w:rsidRDefault="007D7D19" w:rsidP="007D7D19">
      <w:pPr>
        <w:pStyle w:val="Liststycke"/>
        <w:numPr>
          <w:ilvl w:val="0"/>
          <w:numId w:val="21"/>
        </w:numPr>
      </w:pPr>
      <w:r>
        <w:t xml:space="preserve">Användningen av forskningsmedel bör följas upp </w:t>
      </w:r>
      <w:r w:rsidRPr="007D7D19">
        <w:t xml:space="preserve">på aggregerad institutionsnivå. Detta skulle kunna utgöra ett av underlagen för strategiska diskussioner på institutionsnivå och </w:t>
      </w:r>
      <w:r>
        <w:t xml:space="preserve">på </w:t>
      </w:r>
      <w:r w:rsidRPr="007D7D19">
        <w:t>lärosätesgemensam nivå.</w:t>
      </w:r>
    </w:p>
    <w:p w14:paraId="5E19B8AA" w14:textId="250D9C5B" w:rsidR="007D7D19" w:rsidRDefault="007D7D19" w:rsidP="007D7D19">
      <w:pPr>
        <w:pStyle w:val="Liststycke"/>
        <w:numPr>
          <w:ilvl w:val="0"/>
          <w:numId w:val="21"/>
        </w:numPr>
      </w:pPr>
      <w:r>
        <w:t>Arbetsgruppen gör bedömningen att det åtminstone bör ske en årlig avstämning koppla</w:t>
      </w:r>
      <w:r w:rsidR="00307063">
        <w:t>d</w:t>
      </w:r>
      <w:r>
        <w:t xml:space="preserve"> till fördelningsmodellen.</w:t>
      </w:r>
    </w:p>
    <w:p w14:paraId="28D64ABF" w14:textId="7DA29BC3" w:rsidR="00DC5492" w:rsidRDefault="00DC5492" w:rsidP="00AD09A3">
      <w:pPr>
        <w:pStyle w:val="Rubrik2"/>
      </w:pPr>
      <w:r w:rsidRPr="00DC5492">
        <w:t>Medskick från FUN</w:t>
      </w:r>
    </w:p>
    <w:p w14:paraId="12065A19" w14:textId="57FF99E5" w:rsidR="00DC5492" w:rsidRPr="00AD09A3" w:rsidRDefault="00AD09A3" w:rsidP="00AD09A3">
      <w:pPr>
        <w:pStyle w:val="Liststycke"/>
        <w:numPr>
          <w:ilvl w:val="0"/>
          <w:numId w:val="22"/>
        </w:numPr>
      </w:pPr>
      <w:r>
        <w:t>E</w:t>
      </w:r>
      <w:r w:rsidR="00DC5492" w:rsidRPr="00AD09A3">
        <w:t xml:space="preserve">n översyn av handledningsresurserna </w:t>
      </w:r>
      <w:r>
        <w:t xml:space="preserve">bör </w:t>
      </w:r>
      <w:r w:rsidR="00DC5492" w:rsidRPr="00AD09A3">
        <w:t>genomförs i syfte att säkerställa samtliga doktoranders lika rätt till handledning. Detta inte minst med anledning av det nya arbetstidsavtalet som riskerar att få olika tillämpning vid olika institutioner.</w:t>
      </w:r>
    </w:p>
    <w:p w14:paraId="47B6AE70" w14:textId="1383AA3B" w:rsidR="00624693" w:rsidRPr="00BF09B2" w:rsidRDefault="00624693" w:rsidP="00F65E7A">
      <w:pPr>
        <w:pStyle w:val="Rubrik2"/>
      </w:pPr>
      <w:r w:rsidRPr="00624693">
        <w:t>Bakgrund</w:t>
      </w:r>
    </w:p>
    <w:p w14:paraId="1C0D8428" w14:textId="6B5BB479" w:rsidR="0015326A" w:rsidRPr="0015326A" w:rsidRDefault="00624693" w:rsidP="0015326A">
      <w:r>
        <w:t>Rektor beslutade 2019-11-18 att uppdra åt UFN att lämna förslag till rektor om övergripande fördelningsprinciper för forskningsanslaget. Nämnden tillsatte en arbetsgrupp som arbetade med uppdraget under 2020 och arbetsgruppen presenterade en rapport för nämnden i december 2020.</w:t>
      </w:r>
      <w:r w:rsidR="008B6E2C">
        <w:t xml:space="preserve"> </w:t>
      </w:r>
      <w:r w:rsidR="0015326A" w:rsidRPr="0015326A">
        <w:t>En utgångpunkt var att principerna skulle vara transparenta och att underlag för fördelning skulle kunna tas fram på ett enkelt sätt från tillgängligt material. I förslaget delades forskningsanslaget in i fyra delar: 1) basanslag till respektive institution, 2) strategisk del, 3) forskarutbildningens omkostnader och 4) rektors reserv.</w:t>
      </w:r>
    </w:p>
    <w:p w14:paraId="377F07EE" w14:textId="4947A666" w:rsidR="0015326A" w:rsidRPr="0015326A" w:rsidRDefault="0015326A" w:rsidP="00F65E7A">
      <w:pPr>
        <w:pStyle w:val="Liststycke"/>
        <w:numPr>
          <w:ilvl w:val="0"/>
          <w:numId w:val="11"/>
        </w:numPr>
      </w:pPr>
      <w:r w:rsidRPr="0015326A">
        <w:t>Storleken på basanslaget (1) är prestationsbaserad och bygger på ett antal fördelningsnycklar. Tidigare prestationer mäts kvantitativt utifrån tillgängliga data. Fördelningsnycklarna består av a) erhållna externa medel, b) publikationer, c) antal disputerade forskare, d) antal doktorander och e) antal helårsstudenter.</w:t>
      </w:r>
    </w:p>
    <w:p w14:paraId="417762D2" w14:textId="77777777" w:rsidR="0015326A" w:rsidRPr="0015326A" w:rsidRDefault="0015326A" w:rsidP="00F65E7A">
      <w:pPr>
        <w:pStyle w:val="Liststycke"/>
        <w:numPr>
          <w:ilvl w:val="0"/>
          <w:numId w:val="11"/>
        </w:numPr>
      </w:pPr>
      <w:r w:rsidRPr="0015326A">
        <w:t>Den strategiska delen (2) är en avsättning som ska kunna finansiera forskningsstrategiska utvecklingssatsningar av väsentlig betydelse för HDa. Rektor fattar beslut om hur medlen ska fördelas efter beredning.</w:t>
      </w:r>
    </w:p>
    <w:p w14:paraId="34F7D079" w14:textId="77777777" w:rsidR="0015326A" w:rsidRPr="0015326A" w:rsidRDefault="0015326A" w:rsidP="00F65E7A">
      <w:pPr>
        <w:pStyle w:val="Liststycke"/>
        <w:numPr>
          <w:ilvl w:val="0"/>
          <w:numId w:val="11"/>
        </w:numPr>
      </w:pPr>
      <w:r w:rsidRPr="0015326A">
        <w:t>Forskarutbildningens omkostnader (3) består av en schablon som lyfts av för respektive forskarutbildning och som ska täcka gemensamma omkostnader för drift av utbildningen.</w:t>
      </w:r>
    </w:p>
    <w:p w14:paraId="498BE5E3" w14:textId="4B9B37EC" w:rsidR="0015326A" w:rsidRPr="0015326A" w:rsidRDefault="0015326A" w:rsidP="00F65E7A">
      <w:pPr>
        <w:pStyle w:val="Liststycke"/>
        <w:numPr>
          <w:ilvl w:val="0"/>
          <w:numId w:val="11"/>
        </w:numPr>
      </w:pPr>
      <w:r w:rsidRPr="0015326A">
        <w:t xml:space="preserve">Rektors reserv (4) är medel som </w:t>
      </w:r>
      <w:r w:rsidR="005A799A">
        <w:t xml:space="preserve">är </w:t>
      </w:r>
      <w:r w:rsidRPr="0015326A">
        <w:t>reservera</w:t>
      </w:r>
      <w:r w:rsidR="005A799A">
        <w:t xml:space="preserve">de </w:t>
      </w:r>
      <w:r w:rsidRPr="0015326A">
        <w:t>för särskilda satsningar som rektor finner önskvärda eller nödvändiga.</w:t>
      </w:r>
    </w:p>
    <w:p w14:paraId="1F2BA519" w14:textId="75B2EE40" w:rsidR="00624693" w:rsidRDefault="00624693" w:rsidP="00624693">
      <w:r>
        <w:t>Högskolestyrelsen beslutade i juni 2021 att anta de övergripande fördelningsprinciperna. Av beslutet framgår att högskolestyrelsen årligen ska besluta om fördelningsprinciperna. De mer detaljerade fördelningsprinciperna (exempelvis procentuell fördelning mellan de olika fördelningsnycklarna i basanslaget eller viktningar vid beräkning av basanslaget) fastställs av rektor i samband med årliga beslut om institutionernas tilldelning av forskningsanslag.</w:t>
      </w:r>
    </w:p>
    <w:p w14:paraId="71C86FBA" w14:textId="6BA4A655" w:rsidR="0015326A" w:rsidRDefault="00624693" w:rsidP="00923540">
      <w:r>
        <w:t>Vid översynen som gjordes inför år 2023 ansåg</w:t>
      </w:r>
      <w:r w:rsidR="005A799A">
        <w:t xml:space="preserve"> UFN att</w:t>
      </w:r>
      <w:r>
        <w:t xml:space="preserve"> det var</w:t>
      </w:r>
      <w:r w:rsidR="005A799A">
        <w:t xml:space="preserve"> allt</w:t>
      </w:r>
      <w:r>
        <w:t xml:space="preserve">för tidigt att </w:t>
      </w:r>
      <w:r w:rsidR="0015326A" w:rsidRPr="0015326A">
        <w:t>utvärdera och på basis av detta modifiera modellen. UFN rekommenderade därför styrelsen att bibehålla fördelningsprinciperna oförändrade för 2023. Styrelsen beslutade i linje med rekommendationen vid mötet 2022-12-16.</w:t>
      </w:r>
    </w:p>
    <w:p w14:paraId="6685F7A6" w14:textId="59D99651" w:rsidR="00627D42" w:rsidRDefault="0015326A" w:rsidP="00627D42">
      <w:r w:rsidRPr="0015326A">
        <w:t>Under våren 2023 undersökte en arbetsgrupp under UFN om, och i så fall hur, man kan integrera samverkan som en fördelningsnyckel och eventuellt göra andra förändringar i fördelningsprinciperna för forskningsanslaget, inför beslut om fördelningsprinciper i styrelsen. Arbetsgruppen såg betydande svårigheter att mäta (värdet av) samverkan med kvantitativa indikatorer då dessa bara i begränsad grad kan fånga upp kvalitativa aspekter på samverkan. Gruppen föreslog därför att ingen direkt fördelningsnyckel för samverkan skulle införas 2024. Indirekt föreslogs dock samverkan få ökad vikt vid fördelning av forskningsanslaget genom att andelen av basanslaget som fördelas med nyckeln ”Externa forskningsmedel” (där forskningsfinansiärer i praktiken ofta ställer krav på samverkan) skulle ökas från 10 % till 15 %. Andelen av basanslaget som fördelades med nyckeln ”</w:t>
      </w:r>
      <w:proofErr w:type="spellStart"/>
      <w:r w:rsidRPr="0015326A">
        <w:t>Personår</w:t>
      </w:r>
      <w:proofErr w:type="spellEnd"/>
      <w:r w:rsidRPr="0015326A">
        <w:t xml:space="preserve"> disputerade” föreslogs samtidigt minskas från 30 % till 25 %. Vidare föreslogs att refereegranskade konferensbidrag skulle få en lägre viktning jämfört med övriga refereegranskade publikationer (1/3 relativ viktning). Samtliga föreslagna ändringar rymdes dock inom ramen för då gällande fördelningsprinciper.</w:t>
      </w:r>
      <w:r w:rsidR="00627D42">
        <w:t xml:space="preserve"> Generella synpunkter från arbetsgruppen vid översynen inför år 2024 var </w:t>
      </w:r>
      <w:r w:rsidR="00AD09A3">
        <w:t>att det inte bör ske</w:t>
      </w:r>
      <w:r w:rsidR="00627D42">
        <w:t xml:space="preserve"> stora och snabba förändringar i modellen eftersom detta påverkar institutionernas övergripande planering och budgetering. Arbetsgruppen gjorde bedömningen att fördelningsnycklarna bör vara enkla</w:t>
      </w:r>
      <w:r w:rsidR="00F65E7A">
        <w:t xml:space="preserve"> och </w:t>
      </w:r>
      <w:r w:rsidR="00627D42">
        <w:t>lyfte även att</w:t>
      </w:r>
      <w:r w:rsidR="00F65E7A">
        <w:t>:</w:t>
      </w:r>
    </w:p>
    <w:p w14:paraId="2A112259" w14:textId="77777777" w:rsidR="00627D42" w:rsidRDefault="00627D42" w:rsidP="00F65E7A">
      <w:pPr>
        <w:pStyle w:val="Liststycke"/>
        <w:numPr>
          <w:ilvl w:val="0"/>
          <w:numId w:val="13"/>
        </w:numPr>
      </w:pPr>
      <w:proofErr w:type="spellStart"/>
      <w:r w:rsidRPr="00F65E7A">
        <w:rPr>
          <w:i/>
          <w:iCs/>
        </w:rPr>
        <w:t>Predatory</w:t>
      </w:r>
      <w:proofErr w:type="spellEnd"/>
      <w:r w:rsidRPr="00F65E7A">
        <w:rPr>
          <w:i/>
          <w:iCs/>
        </w:rPr>
        <w:t xml:space="preserve"> </w:t>
      </w:r>
      <w:proofErr w:type="spellStart"/>
      <w:r w:rsidRPr="00F65E7A">
        <w:rPr>
          <w:i/>
          <w:iCs/>
        </w:rPr>
        <w:t>publishers</w:t>
      </w:r>
      <w:proofErr w:type="spellEnd"/>
      <w:r>
        <w:t xml:space="preserve"> och </w:t>
      </w:r>
      <w:proofErr w:type="spellStart"/>
      <w:r w:rsidRPr="00F65E7A">
        <w:rPr>
          <w:i/>
          <w:iCs/>
        </w:rPr>
        <w:t>predatory</w:t>
      </w:r>
      <w:proofErr w:type="spellEnd"/>
      <w:r w:rsidRPr="00F65E7A">
        <w:rPr>
          <w:i/>
          <w:iCs/>
        </w:rPr>
        <w:t xml:space="preserve"> journals</w:t>
      </w:r>
      <w:r>
        <w:t xml:space="preserve"> utgör problem för lärosäten</w:t>
      </w:r>
      <w:r>
        <w:rPr>
          <w:rStyle w:val="Fotnotsreferens"/>
        </w:rPr>
        <w:footnoteReference w:id="2"/>
      </w:r>
      <w:r>
        <w:t xml:space="preserve"> och att Högskolan Dalarna behöver utreda hur pass frekvent denna typ av publicering är vid lärosätet samt vid behov vidta åtgärder. </w:t>
      </w:r>
    </w:p>
    <w:p w14:paraId="10B763CC" w14:textId="4E9565DB" w:rsidR="0015326A" w:rsidRPr="0015326A" w:rsidRDefault="00627D42" w:rsidP="00F65E7A">
      <w:pPr>
        <w:pStyle w:val="Liststycke"/>
        <w:numPr>
          <w:ilvl w:val="0"/>
          <w:numId w:val="13"/>
        </w:numPr>
      </w:pPr>
      <w:r>
        <w:t xml:space="preserve">Inför framtida översyn av fördelningsnycklar bör utredning göras avseende hur stor del av projekten med externa forskningsmedel som inbegriper samverkan. Vidare bör klargöras hur externa medel definieras, </w:t>
      </w:r>
      <w:r w:rsidR="00AD09A3">
        <w:t>till exempel</w:t>
      </w:r>
      <w:r>
        <w:t xml:space="preserve"> praktisk tillämpning av kravet på erhållna medel i konkurrens, och härigenom vilka medel som ska räknas in. </w:t>
      </w:r>
      <w:r w:rsidR="00AD09A3">
        <w:t xml:space="preserve">Utredning bör </w:t>
      </w:r>
      <w:r>
        <w:t xml:space="preserve">även </w:t>
      </w:r>
      <w:r w:rsidR="00AD09A3">
        <w:t>göras om till exempel</w:t>
      </w:r>
      <w:r>
        <w:t xml:space="preserve"> uppdragsforskning (som ju tydligt inbegriper samverkan) ska kunna inkluderas.</w:t>
      </w:r>
    </w:p>
    <w:p w14:paraId="5A807746" w14:textId="50BFFE34" w:rsidR="00923540" w:rsidRDefault="0015326A" w:rsidP="00627D42">
      <w:r w:rsidRPr="0015326A">
        <w:t xml:space="preserve">I syfte att komma i fas med den interna verksamhetscykeln och budgetarbetet inför 2025 </w:t>
      </w:r>
      <w:r w:rsidR="005A799A">
        <w:t xml:space="preserve">var </w:t>
      </w:r>
      <w:r w:rsidRPr="0015326A">
        <w:t>översynen av forskningsanslagsmodellen tidigarelagd</w:t>
      </w:r>
      <w:r w:rsidR="00627D42">
        <w:t xml:space="preserve"> och</w:t>
      </w:r>
      <w:r w:rsidRPr="0015326A">
        <w:t xml:space="preserve"> </w:t>
      </w:r>
      <w:r w:rsidR="00627D42">
        <w:t>e</w:t>
      </w:r>
      <w:r w:rsidRPr="0015326A">
        <w:t xml:space="preserve">n arbetsgrupp under UFN </w:t>
      </w:r>
      <w:r w:rsidR="005A799A">
        <w:t xml:space="preserve">gjorde </w:t>
      </w:r>
      <w:r w:rsidRPr="0015326A">
        <w:t xml:space="preserve">en </w:t>
      </w:r>
      <w:r w:rsidR="00AD09A3">
        <w:t xml:space="preserve">ny </w:t>
      </w:r>
      <w:r w:rsidRPr="0015326A">
        <w:t xml:space="preserve">översyn av fördelningsprinciperna. Vad gäller de övergripande fördelningsprinciperna </w:t>
      </w:r>
      <w:r w:rsidR="005A799A">
        <w:t xml:space="preserve">var </w:t>
      </w:r>
      <w:r w:rsidRPr="0015326A">
        <w:t xml:space="preserve">huvudfokus för arbetsgruppen att analysera de ekonomiska konsekvenserna av det nya arbetstidsavtalets tilldelning av forskningstid på individnivå. Arbetsgruppen </w:t>
      </w:r>
      <w:r w:rsidR="005A799A">
        <w:t xml:space="preserve">var </w:t>
      </w:r>
      <w:r w:rsidRPr="0015326A">
        <w:t xml:space="preserve">överens om att de övergripande principerna </w:t>
      </w:r>
      <w:r w:rsidR="00AD09A3">
        <w:t>borde</w:t>
      </w:r>
      <w:r w:rsidRPr="0015326A">
        <w:t xml:space="preserve"> vara oförändrade och </w:t>
      </w:r>
      <w:r w:rsidRPr="004F13F9">
        <w:t xml:space="preserve">att konsekvenser förknippade med arbetstidsavtalet regelbundet behöver följas upp. Däremot </w:t>
      </w:r>
      <w:r w:rsidR="005A799A" w:rsidRPr="004F13F9">
        <w:t>föreslog a</w:t>
      </w:r>
      <w:r w:rsidR="005A799A">
        <w:t xml:space="preserve">rbetsgruppen att </w:t>
      </w:r>
      <w:r w:rsidRPr="0015326A">
        <w:t xml:space="preserve">de mer detaljerade principerna </w:t>
      </w:r>
      <w:r w:rsidR="005A799A">
        <w:t xml:space="preserve">skulle </w:t>
      </w:r>
      <w:r w:rsidRPr="0015326A">
        <w:t xml:space="preserve">korrigeras så att </w:t>
      </w:r>
      <w:proofErr w:type="spellStart"/>
      <w:r w:rsidR="00AD09A3">
        <w:t>p</w:t>
      </w:r>
      <w:r w:rsidRPr="0015326A">
        <w:t>ersonår</w:t>
      </w:r>
      <w:proofErr w:type="spellEnd"/>
      <w:r w:rsidRPr="0015326A">
        <w:t xml:space="preserve"> professorer vikta</w:t>
      </w:r>
      <w:r w:rsidR="00AD09A3">
        <w:t>des</w:t>
      </w:r>
      <w:r w:rsidRPr="0015326A">
        <w:t xml:space="preserve"> upp med faktor 2 och </w:t>
      </w:r>
      <w:proofErr w:type="spellStart"/>
      <w:r w:rsidRPr="0015326A">
        <w:t>personår</w:t>
      </w:r>
      <w:proofErr w:type="spellEnd"/>
      <w:r w:rsidRPr="0015326A">
        <w:t xml:space="preserve"> docenter vikta</w:t>
      </w:r>
      <w:r w:rsidR="00AD09A3">
        <w:t>de</w:t>
      </w:r>
      <w:r w:rsidRPr="0015326A">
        <w:t xml:space="preserve">s upp med faktor 1,5 vid beräkning av fördelningsnyckeln </w:t>
      </w:r>
      <w:proofErr w:type="spellStart"/>
      <w:r w:rsidRPr="0015326A">
        <w:t>personår</w:t>
      </w:r>
      <w:proofErr w:type="spellEnd"/>
      <w:r w:rsidRPr="0015326A">
        <w:t xml:space="preserve"> disputerade.</w:t>
      </w:r>
      <w:r w:rsidR="00627D42">
        <w:t xml:space="preserve"> Högskolestyrelsen och rektor beslutade i linje med arbetsgruppens rekommendationer.</w:t>
      </w:r>
    </w:p>
    <w:p w14:paraId="1E590F50" w14:textId="1011339C" w:rsidR="00F14A56" w:rsidRPr="00A20DE9" w:rsidRDefault="00627D42" w:rsidP="00F65E7A">
      <w:pPr>
        <w:pStyle w:val="Rubrik2"/>
      </w:pPr>
      <w:r>
        <w:t>Översyn inför år 2026</w:t>
      </w:r>
    </w:p>
    <w:p w14:paraId="73D9F6AA" w14:textId="77777777" w:rsidR="00F65E7A" w:rsidRDefault="00A20DE9" w:rsidP="00F14A56">
      <w:pPr>
        <w:tabs>
          <w:tab w:val="left" w:pos="5175"/>
        </w:tabs>
      </w:pPr>
      <w:r>
        <w:t xml:space="preserve">UFN beslutade 2024-02-14 att uppdra åt en arbetsgrupp (nedan kallad ’arbetsgruppen’) att lämna förslag till UFN om </w:t>
      </w:r>
    </w:p>
    <w:p w14:paraId="18748F08" w14:textId="0C545285" w:rsidR="00F65E7A" w:rsidRDefault="00A20DE9" w:rsidP="00F65E7A">
      <w:pPr>
        <w:pStyle w:val="Liststycke"/>
        <w:numPr>
          <w:ilvl w:val="0"/>
          <w:numId w:val="16"/>
        </w:numPr>
        <w:tabs>
          <w:tab w:val="left" w:pos="5175"/>
        </w:tabs>
      </w:pPr>
      <w:r>
        <w:t xml:space="preserve">eventuell ändring av storleken på rektors reserv, </w:t>
      </w:r>
    </w:p>
    <w:p w14:paraId="72D62596" w14:textId="730A9EB4" w:rsidR="00F65E7A" w:rsidRDefault="00A20DE9" w:rsidP="00F65E7A">
      <w:pPr>
        <w:pStyle w:val="Liststycke"/>
        <w:numPr>
          <w:ilvl w:val="0"/>
          <w:numId w:val="16"/>
        </w:numPr>
        <w:tabs>
          <w:tab w:val="left" w:pos="5175"/>
        </w:tabs>
      </w:pPr>
      <w:r>
        <w:t xml:space="preserve">eventuell ändring av storleken av den strategiska delen, </w:t>
      </w:r>
    </w:p>
    <w:p w14:paraId="1A5B74D3" w14:textId="439E37BD" w:rsidR="00F65E7A" w:rsidRDefault="00A20DE9" w:rsidP="00F65E7A">
      <w:pPr>
        <w:pStyle w:val="Liststycke"/>
        <w:numPr>
          <w:ilvl w:val="0"/>
          <w:numId w:val="16"/>
        </w:numPr>
        <w:tabs>
          <w:tab w:val="left" w:pos="5175"/>
        </w:tabs>
      </w:pPr>
      <w:r>
        <w:t xml:space="preserve">eventuell viktning av publikationer baserat på tidskrifters ranking, samt </w:t>
      </w:r>
    </w:p>
    <w:p w14:paraId="51ACB771" w14:textId="6F99310A" w:rsidR="00F65E7A" w:rsidRDefault="00A20DE9" w:rsidP="00F65E7A">
      <w:pPr>
        <w:pStyle w:val="Liststycke"/>
        <w:numPr>
          <w:ilvl w:val="0"/>
          <w:numId w:val="16"/>
        </w:numPr>
        <w:tabs>
          <w:tab w:val="left" w:pos="5175"/>
        </w:tabs>
      </w:pPr>
      <w:r>
        <w:t xml:space="preserve">hur sampubliceringar bör beräknas. </w:t>
      </w:r>
    </w:p>
    <w:p w14:paraId="1CAF9246" w14:textId="77777777" w:rsidR="00F65E7A" w:rsidRDefault="00A20DE9" w:rsidP="00F14A56">
      <w:pPr>
        <w:tabs>
          <w:tab w:val="left" w:pos="5175"/>
        </w:tabs>
      </w:pPr>
      <w:r>
        <w:t xml:space="preserve">UFN uppdrog även till FUN att lämna förslag om </w:t>
      </w:r>
    </w:p>
    <w:p w14:paraId="78D80B80" w14:textId="2FC161C5" w:rsidR="00F65E7A" w:rsidRDefault="00A20DE9" w:rsidP="00F65E7A">
      <w:pPr>
        <w:pStyle w:val="Liststycke"/>
        <w:numPr>
          <w:ilvl w:val="0"/>
          <w:numId w:val="18"/>
        </w:numPr>
        <w:tabs>
          <w:tab w:val="left" w:pos="5175"/>
        </w:tabs>
      </w:pPr>
      <w:r>
        <w:t xml:space="preserve">ersättning till institutionerna för omkostnader för forskarutbildningarna och </w:t>
      </w:r>
    </w:p>
    <w:p w14:paraId="4AA06ACD" w14:textId="0C97A26F" w:rsidR="00A20DE9" w:rsidRDefault="00A20DE9" w:rsidP="00F65E7A">
      <w:pPr>
        <w:pStyle w:val="Liststycke"/>
        <w:numPr>
          <w:ilvl w:val="0"/>
          <w:numId w:val="18"/>
        </w:numPr>
        <w:tabs>
          <w:tab w:val="left" w:pos="5175"/>
        </w:tabs>
      </w:pPr>
      <w:r>
        <w:t>ersättning till institutionerna för studierektorer inom forskarutbildningarna.</w:t>
      </w:r>
    </w:p>
    <w:p w14:paraId="25F0F85D" w14:textId="77777777" w:rsidR="00AC00EB" w:rsidRDefault="00AC00EB" w:rsidP="00F14A56">
      <w:pPr>
        <w:tabs>
          <w:tab w:val="left" w:pos="5175"/>
        </w:tabs>
      </w:pPr>
    </w:p>
    <w:p w14:paraId="7598AFA8" w14:textId="77777777" w:rsidR="00AC00EB" w:rsidRPr="00AC00EB" w:rsidRDefault="00AC00EB" w:rsidP="00F14A56">
      <w:pPr>
        <w:tabs>
          <w:tab w:val="left" w:pos="5175"/>
        </w:tabs>
        <w:rPr>
          <w:b/>
          <w:bCs/>
        </w:rPr>
      </w:pPr>
      <w:r w:rsidRPr="00AC00EB">
        <w:rPr>
          <w:b/>
          <w:bCs/>
        </w:rPr>
        <w:t>Eventuell ändring av storleken på rektors reserv</w:t>
      </w:r>
    </w:p>
    <w:p w14:paraId="403ACA6C" w14:textId="21AB2486" w:rsidR="00181D49" w:rsidRDefault="00DD55C1" w:rsidP="00181D49">
      <w:r>
        <w:t>Arbetsgruppen anser att så mycket som möjligt av forskningsmed</w:t>
      </w:r>
      <w:r w:rsidR="00AD09A3">
        <w:t>len</w:t>
      </w:r>
      <w:r>
        <w:t xml:space="preserve"> ska fördelas direkt till institutionerna. Arbetsgruppen föreslår därför att o</w:t>
      </w:r>
      <w:r w:rsidR="00181D49">
        <w:t xml:space="preserve">förbrukade medel i rektors reserv bör fördelas ut till </w:t>
      </w:r>
      <w:r>
        <w:t>institutionerna</w:t>
      </w:r>
      <w:r w:rsidR="004F13F9">
        <w:t xml:space="preserve"> som </w:t>
      </w:r>
      <w:r w:rsidR="004F13F9" w:rsidRPr="004F13F9">
        <w:t>basanslag</w:t>
      </w:r>
      <w:r w:rsidR="00181D49">
        <w:t xml:space="preserve">. </w:t>
      </w:r>
    </w:p>
    <w:p w14:paraId="3D7AE060" w14:textId="77777777" w:rsidR="00AC00EB" w:rsidRDefault="00AC00EB" w:rsidP="00F14A56">
      <w:pPr>
        <w:tabs>
          <w:tab w:val="left" w:pos="5175"/>
        </w:tabs>
      </w:pPr>
    </w:p>
    <w:p w14:paraId="187082E2" w14:textId="77777777" w:rsidR="00AC00EB" w:rsidRPr="00AC00EB" w:rsidRDefault="00AC00EB" w:rsidP="00F14A56">
      <w:pPr>
        <w:tabs>
          <w:tab w:val="left" w:pos="5175"/>
        </w:tabs>
        <w:rPr>
          <w:b/>
          <w:bCs/>
        </w:rPr>
      </w:pPr>
      <w:r w:rsidRPr="00AC00EB">
        <w:rPr>
          <w:b/>
          <w:bCs/>
        </w:rPr>
        <w:t>Eventuell ändring av storleken av den strategiska delen</w:t>
      </w:r>
    </w:p>
    <w:p w14:paraId="44346541" w14:textId="5802ACD4" w:rsidR="0066250E" w:rsidRDefault="004F13F9" w:rsidP="00461D9B">
      <w:pPr>
        <w:tabs>
          <w:tab w:val="left" w:pos="5175"/>
        </w:tabs>
      </w:pPr>
      <w:r>
        <w:t>Arbetsgruppen anser att det är bra med genomtänkta och välgrundade strategiska satsningar och att d</w:t>
      </w:r>
      <w:r w:rsidR="00DD78E7">
        <w:t xml:space="preserve">en strategiska delen kan vara en bra strategi för att stötta forskningsmiljöerna. </w:t>
      </w:r>
      <w:r>
        <w:t xml:space="preserve">Nuvarande </w:t>
      </w:r>
      <w:r w:rsidR="00181D49">
        <w:t xml:space="preserve">10 % kan vara en rimlig nivå om </w:t>
      </w:r>
      <w:r>
        <w:t xml:space="preserve">det som nu finns en </w:t>
      </w:r>
      <w:r w:rsidR="00181D49">
        <w:t xml:space="preserve">plan som rimmar ihop med verksamhetsplanen i stort. </w:t>
      </w:r>
      <w:r>
        <w:t>Däremot gör arbetsgruppen bedömningen att det är möjligt att samtliga 10 % inte kommer att användas eftersom en del av medlen är förknippade med krav om extern finansiering.</w:t>
      </w:r>
      <w:r w:rsidR="00461D9B">
        <w:t xml:space="preserve"> </w:t>
      </w:r>
      <w:r w:rsidR="0066250E">
        <w:t xml:space="preserve">Om delar av de strategiska medlen inte kommer till användning skulle </w:t>
      </w:r>
      <w:r w:rsidR="00AD09A3">
        <w:t xml:space="preserve">en del av dessa medel kunna </w:t>
      </w:r>
      <w:r w:rsidR="0066250E">
        <w:t xml:space="preserve">finansiera miljöer som får sänkt </w:t>
      </w:r>
      <w:r w:rsidR="00AD09A3">
        <w:t>forskningsanslags</w:t>
      </w:r>
      <w:r w:rsidR="0066250E">
        <w:t xml:space="preserve">tilldelning </w:t>
      </w:r>
      <w:r w:rsidR="00F65E7A">
        <w:t xml:space="preserve">om </w:t>
      </w:r>
      <w:r w:rsidR="0066250E">
        <w:t>nyckeltalsberäkning</w:t>
      </w:r>
      <w:r w:rsidR="00AD09A3">
        <w:t>en</w:t>
      </w:r>
      <w:r w:rsidR="0066250E">
        <w:t xml:space="preserve"> </w:t>
      </w:r>
      <w:r w:rsidR="00F65E7A">
        <w:t>förändras</w:t>
      </w:r>
      <w:r w:rsidR="00AD09A3">
        <w:t xml:space="preserve"> enligt förslag nedan, samt för att finansiera institutioner där </w:t>
      </w:r>
      <w:r w:rsidR="0066250E">
        <w:t xml:space="preserve">stor andel av forskningsanslaget </w:t>
      </w:r>
      <w:r w:rsidR="00AD09A3">
        <w:t xml:space="preserve">går till att </w:t>
      </w:r>
      <w:r w:rsidR="0066250E">
        <w:t>finansiera</w:t>
      </w:r>
      <w:r w:rsidR="00AD09A3">
        <w:t xml:space="preserve"> </w:t>
      </w:r>
      <w:r w:rsidR="0066250E">
        <w:t>arbetstidsavtalet</w:t>
      </w:r>
      <w:r w:rsidR="00F65E7A">
        <w:t xml:space="preserve"> (se </w:t>
      </w:r>
      <w:r w:rsidR="00F65E7A" w:rsidRPr="00F65E7A">
        <w:rPr>
          <w:i/>
          <w:iCs/>
        </w:rPr>
        <w:t xml:space="preserve">Årlig översyn av basanslaget </w:t>
      </w:r>
      <w:r w:rsidR="00F65E7A">
        <w:t>nedan)</w:t>
      </w:r>
      <w:r w:rsidR="0066250E">
        <w:t xml:space="preserve">. </w:t>
      </w:r>
    </w:p>
    <w:p w14:paraId="2A9EBD59" w14:textId="456DABD7" w:rsidR="0066250E" w:rsidRDefault="0066250E" w:rsidP="0066250E">
      <w:pPr>
        <w:tabs>
          <w:tab w:val="left" w:pos="5175"/>
        </w:tabs>
      </w:pPr>
      <w:r>
        <w:t xml:space="preserve">Eftersom </w:t>
      </w:r>
      <w:r w:rsidRPr="00DD78E7">
        <w:t xml:space="preserve">lärosätet </w:t>
      </w:r>
      <w:r>
        <w:t xml:space="preserve">har </w:t>
      </w:r>
      <w:r w:rsidRPr="00DD78E7">
        <w:t xml:space="preserve">valt att lägga ut en stor del </w:t>
      </w:r>
      <w:r>
        <w:t xml:space="preserve">av forskningsanslaget </w:t>
      </w:r>
      <w:r w:rsidRPr="00DD78E7">
        <w:t xml:space="preserve">i det nya arbetstidsavtalet skulle de andra strategiska satsningarna </w:t>
      </w:r>
      <w:r>
        <w:t xml:space="preserve">förmodligen </w:t>
      </w:r>
      <w:r w:rsidRPr="00DD78E7">
        <w:t>kunna minska.</w:t>
      </w:r>
      <w:r>
        <w:t xml:space="preserve"> Eftersom arbetsgruppen anser att så mycket som möjligt av forskningsmedlen ska fördelas direkt till institutionerna bör lärosätet efter </w:t>
      </w:r>
      <w:r w:rsidR="00F65E7A">
        <w:t xml:space="preserve">innevarande, fleråriga, </w:t>
      </w:r>
      <w:r>
        <w:t xml:space="preserve">satsning avseende den strategiska delen överväga att </w:t>
      </w:r>
      <w:r w:rsidR="00291AF3">
        <w:t>minska</w:t>
      </w:r>
      <w:r>
        <w:t xml:space="preserve"> avsättningen till rektors reserv och den strategiska delen från nuvarande 15 % (5 % + 10 %) till sammanlagt 10 %.</w:t>
      </w:r>
    </w:p>
    <w:p w14:paraId="6B77FF87" w14:textId="77777777" w:rsidR="00F65E7A" w:rsidRDefault="00F65E7A" w:rsidP="00F14A56">
      <w:pPr>
        <w:tabs>
          <w:tab w:val="left" w:pos="5175"/>
        </w:tabs>
        <w:rPr>
          <w:b/>
          <w:bCs/>
        </w:rPr>
      </w:pPr>
    </w:p>
    <w:p w14:paraId="4AADD861" w14:textId="4F9D955D" w:rsidR="00AC00EB" w:rsidRPr="00AC00EB" w:rsidRDefault="00AC00EB" w:rsidP="00F14A56">
      <w:pPr>
        <w:tabs>
          <w:tab w:val="left" w:pos="5175"/>
        </w:tabs>
        <w:rPr>
          <w:b/>
          <w:bCs/>
        </w:rPr>
      </w:pPr>
      <w:r w:rsidRPr="00AC00EB">
        <w:rPr>
          <w:b/>
          <w:bCs/>
        </w:rPr>
        <w:t>Eventuell viktning av publikationer baserat på tidskrifters ranking</w:t>
      </w:r>
    </w:p>
    <w:p w14:paraId="3DAA793C" w14:textId="56370DF5" w:rsidR="00E871E3" w:rsidRDefault="007F64D4" w:rsidP="00F14A56">
      <w:pPr>
        <w:tabs>
          <w:tab w:val="left" w:pos="5175"/>
        </w:tabs>
      </w:pPr>
      <w:r>
        <w:t xml:space="preserve">Det är möjligt att vikta publikationer baserat på tidskrifters rankingar enligt olika listor, exempelvis Norska listan (som är den mest frekvent använda listan vid svenska lärosäten), Web </w:t>
      </w:r>
      <w:proofErr w:type="spellStart"/>
      <w:r>
        <w:t>of</w:t>
      </w:r>
      <w:proofErr w:type="spellEnd"/>
      <w:r>
        <w:t xml:space="preserve"> Science eller </w:t>
      </w:r>
      <w:proofErr w:type="spellStart"/>
      <w:r>
        <w:t>Scopus</w:t>
      </w:r>
      <w:proofErr w:type="spellEnd"/>
      <w:r>
        <w:t xml:space="preserve">. </w:t>
      </w:r>
      <w:r w:rsidR="00E871E3">
        <w:t xml:space="preserve">Medelsfördelningsmodellen behöver vara någorlunda robust och heltäckande </w:t>
      </w:r>
      <w:r w:rsidR="00307063">
        <w:t>samtidigt som</w:t>
      </w:r>
      <w:r w:rsidR="00E871E3">
        <w:t xml:space="preserve"> listorna </w:t>
      </w:r>
      <w:r w:rsidR="00DD78E7">
        <w:t xml:space="preserve">ofta </w:t>
      </w:r>
      <w:r w:rsidR="00307063">
        <w:t xml:space="preserve">har </w:t>
      </w:r>
      <w:r w:rsidR="00DD78E7">
        <w:t xml:space="preserve">särskilt fokus </w:t>
      </w:r>
      <w:r w:rsidR="00E871E3">
        <w:t>på vissa ämnesområden</w:t>
      </w:r>
      <w:r w:rsidR="00307063">
        <w:t>.</w:t>
      </w:r>
      <w:r w:rsidR="00E871E3">
        <w:t xml:space="preserve"> </w:t>
      </w:r>
      <w:r w:rsidR="00307063">
        <w:t xml:space="preserve">Detta </w:t>
      </w:r>
      <w:r w:rsidR="00DD78E7">
        <w:t xml:space="preserve">medför att </w:t>
      </w:r>
      <w:r w:rsidR="00E871E3">
        <w:t xml:space="preserve">en lista till exempel </w:t>
      </w:r>
      <w:r w:rsidR="00DD78E7">
        <w:t xml:space="preserve">kan </w:t>
      </w:r>
      <w:r w:rsidR="00E871E3">
        <w:t xml:space="preserve">ranka en publikation högt </w:t>
      </w:r>
      <w:r w:rsidR="00461D9B">
        <w:t>men där publikationen</w:t>
      </w:r>
      <w:r w:rsidR="00E871E3">
        <w:t xml:space="preserve"> </w:t>
      </w:r>
      <w:r w:rsidR="00B76EB2">
        <w:t xml:space="preserve">i själva verket har </w:t>
      </w:r>
      <w:r w:rsidR="00E871E3">
        <w:t xml:space="preserve">låg </w:t>
      </w:r>
      <w:proofErr w:type="spellStart"/>
      <w:r w:rsidR="00E871E3">
        <w:t>impact</w:t>
      </w:r>
      <w:proofErr w:type="spellEnd"/>
      <w:r w:rsidR="00E871E3">
        <w:t xml:space="preserve"> och vice versa. Ämnen kan även falla utanför vissa av listorna och ofta är det</w:t>
      </w:r>
      <w:r w:rsidR="00461D9B">
        <w:t xml:space="preserve"> därför</w:t>
      </w:r>
      <w:r w:rsidR="00E871E3">
        <w:t xml:space="preserve"> mer specialiserade lärosäten som använder </w:t>
      </w:r>
      <w:r w:rsidR="00DD78E7">
        <w:t>sig av listor vid medelsfördelning</w:t>
      </w:r>
      <w:r w:rsidR="00E871E3">
        <w:t xml:space="preserve">. Oavsett vilken eller vilka av listorna lärosätet skulle välja blir det svårt att vikta </w:t>
      </w:r>
      <w:proofErr w:type="spellStart"/>
      <w:r w:rsidR="00E871E3">
        <w:t>impact</w:t>
      </w:r>
      <w:proofErr w:type="spellEnd"/>
      <w:r w:rsidR="00E871E3">
        <w:t xml:space="preserve">. </w:t>
      </w:r>
      <w:r w:rsidR="00DD55C1">
        <w:t>Det är dock möjligt att fånga ranking i dialoger och som underlag för mer kvalitativ</w:t>
      </w:r>
      <w:r w:rsidR="00307063">
        <w:t>a</w:t>
      </w:r>
      <w:r w:rsidR="00DD55C1">
        <w:t xml:space="preserve"> diskussion</w:t>
      </w:r>
      <w:r w:rsidR="00307063">
        <w:t>er</w:t>
      </w:r>
      <w:r w:rsidR="00DD55C1">
        <w:t>. Publikationers ranking enligt olika listor skulle till exempel kunna användas i samband med riktade satsningar av strategiska medel.</w:t>
      </w:r>
    </w:p>
    <w:p w14:paraId="2036A196" w14:textId="18DD2871" w:rsidR="00AC00EB" w:rsidRDefault="00E871E3" w:rsidP="00DD78E7">
      <w:pPr>
        <w:tabs>
          <w:tab w:val="left" w:pos="5175"/>
        </w:tabs>
      </w:pPr>
      <w:r>
        <w:t>Arbetsgruppen gör bedömningen att tidskrifternas r</w:t>
      </w:r>
      <w:bookmarkStart w:id="0" w:name="_Hlk181113726"/>
      <w:r>
        <w:t>anking enligt olika listor bör ingå i uppföljning men inte i samband med medelsfördelning</w:t>
      </w:r>
      <w:bookmarkEnd w:id="0"/>
      <w:r>
        <w:t xml:space="preserve"> eftersom det är svårt att bygga en rättvis modell, exempelvis en kombination av olika listor, som</w:t>
      </w:r>
      <w:r w:rsidR="00DD78E7">
        <w:t xml:space="preserve"> kan gälla unisont för </w:t>
      </w:r>
      <w:r>
        <w:t>samtliga miljöer vid Högskolan Dalarna</w:t>
      </w:r>
      <w:r w:rsidR="00461D9B">
        <w:t>.</w:t>
      </w:r>
    </w:p>
    <w:p w14:paraId="00484145" w14:textId="77777777" w:rsidR="00461D9B" w:rsidRDefault="00461D9B" w:rsidP="00DD78E7">
      <w:pPr>
        <w:tabs>
          <w:tab w:val="left" w:pos="5175"/>
        </w:tabs>
      </w:pPr>
    </w:p>
    <w:p w14:paraId="63AAEF3F" w14:textId="77777777" w:rsidR="00307063" w:rsidRDefault="00307063">
      <w:pPr>
        <w:spacing w:after="160"/>
        <w:rPr>
          <w:b/>
          <w:bCs/>
        </w:rPr>
      </w:pPr>
      <w:r>
        <w:rPr>
          <w:b/>
          <w:bCs/>
        </w:rPr>
        <w:br w:type="page"/>
      </w:r>
    </w:p>
    <w:p w14:paraId="73A4417F" w14:textId="191F5FCD" w:rsidR="00AC00EB" w:rsidRPr="00AC00EB" w:rsidRDefault="00AC00EB" w:rsidP="00F14A56">
      <w:pPr>
        <w:tabs>
          <w:tab w:val="left" w:pos="5175"/>
        </w:tabs>
        <w:rPr>
          <w:b/>
          <w:bCs/>
        </w:rPr>
      </w:pPr>
      <w:r w:rsidRPr="00AC00EB">
        <w:rPr>
          <w:b/>
          <w:bCs/>
        </w:rPr>
        <w:t>Hur sampubliceringar bör beräknas</w:t>
      </w:r>
    </w:p>
    <w:p w14:paraId="45795102" w14:textId="1FFDADE9" w:rsidR="00AC00EB" w:rsidRDefault="007F64D4" w:rsidP="00F14A56">
      <w:pPr>
        <w:tabs>
          <w:tab w:val="left" w:pos="5175"/>
        </w:tabs>
      </w:pPr>
      <w:r>
        <w:t>Publikationer kan fraktioneras så att författarna av en publikation delar på publikationen</w:t>
      </w:r>
      <w:r w:rsidR="00461D9B">
        <w:t xml:space="preserve"> när antalet publikationer beräknas</w:t>
      </w:r>
      <w:r>
        <w:t xml:space="preserve">. Ofta finns ett golv för fraktioneringen, exempelvis 10, vilket innebär att om antalet författare överstiger </w:t>
      </w:r>
      <w:proofErr w:type="gramStart"/>
      <w:r>
        <w:t>tio stycken</w:t>
      </w:r>
      <w:proofErr w:type="gramEnd"/>
      <w:r>
        <w:t xml:space="preserve"> får varje författare ändå 0,1 publikation i samband med beräkningen. Det är möjligt att göra fraktionering för samtliga författare eller bara göra fraktionering för de författare som är anställda vid lärosätet</w:t>
      </w:r>
      <w:r w:rsidR="00DD55C1">
        <w:t>.</w:t>
      </w:r>
    </w:p>
    <w:p w14:paraId="0365DEE9" w14:textId="61ACFBE4" w:rsidR="00DD55C1" w:rsidRDefault="00DD55C1" w:rsidP="00F14A56">
      <w:pPr>
        <w:tabs>
          <w:tab w:val="left" w:pos="5175"/>
        </w:tabs>
      </w:pPr>
      <w:r>
        <w:t xml:space="preserve">I nuvarande forskningsanslagsfördelningsmodell räknas </w:t>
      </w:r>
      <w:bookmarkStart w:id="1" w:name="_Hlk181113772"/>
      <w:r>
        <w:t xml:space="preserve">en sampublikation som en publikation per institution vid Högskolan Dalarna </w:t>
      </w:r>
      <w:bookmarkEnd w:id="1"/>
      <w:r>
        <w:t xml:space="preserve">(exempelvis en sampublikation med en författare vid en institution och två författare vid en annan räknas som en publikation </w:t>
      </w:r>
      <w:r w:rsidR="00F65E7A">
        <w:t>för respektive institution</w:t>
      </w:r>
      <w:r>
        <w:t xml:space="preserve">). Detta uppmuntrar till samarbeten med forskare vid andra institutioner, något som arbetsgruppen bedömer </w:t>
      </w:r>
      <w:r w:rsidR="00F65E7A">
        <w:t>är mycket</w:t>
      </w:r>
      <w:r>
        <w:t xml:space="preserve"> positivt. Arbetsgruppen anser även att det är viktigt att lärosätet har ett system som förmedlar att det är viktigt att synas och publicera och föreslår ingen ändring av beräkningsmodell för sampubliceringar.</w:t>
      </w:r>
    </w:p>
    <w:p w14:paraId="08BD1AA9" w14:textId="77777777" w:rsidR="00461D9B" w:rsidRDefault="00461D9B" w:rsidP="00F14A56">
      <w:pPr>
        <w:tabs>
          <w:tab w:val="left" w:pos="5175"/>
        </w:tabs>
      </w:pPr>
    </w:p>
    <w:p w14:paraId="6ED470C2" w14:textId="0445B249" w:rsidR="00AC00EB" w:rsidRPr="00AC00EB" w:rsidRDefault="00AC00EB" w:rsidP="00F14A56">
      <w:pPr>
        <w:tabs>
          <w:tab w:val="left" w:pos="5175"/>
        </w:tabs>
        <w:rPr>
          <w:b/>
          <w:bCs/>
        </w:rPr>
      </w:pPr>
      <w:r w:rsidRPr="00AC00EB">
        <w:rPr>
          <w:b/>
          <w:bCs/>
        </w:rPr>
        <w:t>Årlig översyn av basanslaget</w:t>
      </w:r>
    </w:p>
    <w:p w14:paraId="7F5E6CCF" w14:textId="5CB3D384" w:rsidR="00DD78E7" w:rsidRDefault="00AC00EB" w:rsidP="00F14A56">
      <w:pPr>
        <w:tabs>
          <w:tab w:val="left" w:pos="5175"/>
        </w:tabs>
      </w:pPr>
      <w:r>
        <w:t xml:space="preserve">Utöver de mer specifika </w:t>
      </w:r>
      <w:r w:rsidR="00461D9B">
        <w:t xml:space="preserve">uppdragen </w:t>
      </w:r>
      <w:r>
        <w:t xml:space="preserve">ovan har arbetsgruppen även </w:t>
      </w:r>
      <w:r w:rsidR="00461D9B">
        <w:t xml:space="preserve">genomfört </w:t>
      </w:r>
      <w:r>
        <w:t xml:space="preserve">en </w:t>
      </w:r>
      <w:r w:rsidR="00461D9B">
        <w:t xml:space="preserve">årlig </w:t>
      </w:r>
      <w:r>
        <w:t xml:space="preserve">översyn av </w:t>
      </w:r>
      <w:r w:rsidR="00F6616E">
        <w:t>basanslaget i fördelningsmodellen</w:t>
      </w:r>
      <w:r>
        <w:t>.</w:t>
      </w:r>
      <w:r w:rsidR="00181D49">
        <w:t xml:space="preserve"> </w:t>
      </w:r>
    </w:p>
    <w:p w14:paraId="26AB4417" w14:textId="1431D8EB" w:rsidR="00753F13" w:rsidRDefault="00753F13" w:rsidP="00F14A56">
      <w:pPr>
        <w:tabs>
          <w:tab w:val="left" w:pos="5175"/>
        </w:tabs>
      </w:pPr>
      <w:r>
        <w:t>Högskolan Dalarna har som mål att öka den externa forskningsfinansieringen och arbetsgruppen gör därför bedömningen att det är viktigt att medelsfördelningsmodellen ytterligare premierar institutioner som är framgångsrika i att erhålla extern finansiering. Extern finansiering är inte minst viktig givet lärosätets ekonomiska läge</w:t>
      </w:r>
      <w:r w:rsidR="00DD78E7" w:rsidRPr="00DD78E7">
        <w:t xml:space="preserve">. </w:t>
      </w:r>
    </w:p>
    <w:p w14:paraId="484D2568" w14:textId="5AA5C018" w:rsidR="00DD78E7" w:rsidRDefault="00753F13" w:rsidP="00F14A56">
      <w:pPr>
        <w:tabs>
          <w:tab w:val="left" w:pos="5175"/>
        </w:tabs>
      </w:pPr>
      <w:r>
        <w:t xml:space="preserve">Arbetsgruppen föreslår att </w:t>
      </w:r>
      <w:bookmarkStart w:id="2" w:name="_Hlk181113840"/>
      <w:r>
        <w:t>basanslagets fem ingående delar viktas lika med 20 % vardera</w:t>
      </w:r>
      <w:bookmarkEnd w:id="2"/>
      <w:r>
        <w:t xml:space="preserve">. Detta skulle i sådant fall resultera i en minskning för fördelningsnyckeln </w:t>
      </w:r>
      <w:r w:rsidR="00F6616E">
        <w:t>”</w:t>
      </w:r>
      <w:proofErr w:type="spellStart"/>
      <w:r w:rsidRPr="00F6616E">
        <w:t>personår</w:t>
      </w:r>
      <w:proofErr w:type="spellEnd"/>
      <w:r w:rsidRPr="00F6616E">
        <w:t xml:space="preserve"> disputerade</w:t>
      </w:r>
      <w:r w:rsidR="00F6616E">
        <w:t>”</w:t>
      </w:r>
      <w:r w:rsidRPr="00F6616E">
        <w:t xml:space="preserve"> med fem procentenheter och en motsvarande ökning för fördelningsnyckeln </w:t>
      </w:r>
      <w:r w:rsidR="00F6616E">
        <w:t>”</w:t>
      </w:r>
      <w:r w:rsidRPr="00F6616E">
        <w:t>externa forskningsmedel</w:t>
      </w:r>
      <w:r w:rsidR="00F6616E">
        <w:t>”</w:t>
      </w:r>
      <w:r w:rsidRPr="00F6616E">
        <w:t>.</w:t>
      </w:r>
    </w:p>
    <w:p w14:paraId="7DE4FC5C" w14:textId="0C3FC7D9" w:rsidR="00DD78E7" w:rsidRDefault="00753F13" w:rsidP="00753F13">
      <w:r>
        <w:t xml:space="preserve">Eftersom </w:t>
      </w:r>
      <w:r w:rsidR="00DD78E7">
        <w:t xml:space="preserve">vissa miljöer </w:t>
      </w:r>
      <w:r w:rsidR="00307063">
        <w:t xml:space="preserve">har svårare att </w:t>
      </w:r>
      <w:r>
        <w:t xml:space="preserve">erhålla </w:t>
      </w:r>
      <w:r w:rsidR="00DD78E7">
        <w:t>externa forsknings</w:t>
      </w:r>
      <w:r>
        <w:t xml:space="preserve">finansiering bör övergången bli mjuk genom riktade strategiska satsningar för miljöer som får minskat anslag. </w:t>
      </w:r>
      <w:r w:rsidR="00F6616E">
        <w:t>Institutioner som skulle få minskat anslag om fördelningsnyckeln ”</w:t>
      </w:r>
      <w:proofErr w:type="spellStart"/>
      <w:r w:rsidR="00F6616E">
        <w:t>personår</w:t>
      </w:r>
      <w:proofErr w:type="spellEnd"/>
      <w:r w:rsidR="00F6616E">
        <w:t xml:space="preserve"> disputerade” minskar till förmån för fördelningsnyckeln ”externa forskningsmedel” är även institutioner som har större andel av </w:t>
      </w:r>
      <w:r>
        <w:t>sina respektive forskningsanslag intecknade för att finansiera arbetstidsavtalet vilket ytterligare talar för riktade strategiska satsningar.</w:t>
      </w:r>
    </w:p>
    <w:p w14:paraId="23167C50" w14:textId="7D991DEA" w:rsidR="00BF09B2" w:rsidRDefault="00BF09B2" w:rsidP="00BF09B2">
      <w:r>
        <w:t>R</w:t>
      </w:r>
      <w:r w:rsidRPr="0015326A">
        <w:t xml:space="preserve">efereegranskade konferensbidrag </w:t>
      </w:r>
      <w:r>
        <w:t xml:space="preserve">har tidigare fått </w:t>
      </w:r>
      <w:r w:rsidRPr="0015326A">
        <w:t>en lägre viktning jämfört med övriga refereegranskade publikationer (1/3 relativ viktning)</w:t>
      </w:r>
      <w:r>
        <w:t>. Arbetsgruppen gör bedömningen att refereegranskade konferensbidrag ytterligare bör viktas ned och ges ¼ relativ viktning. Det finns även ett behov av en lärosätesgemensam definition för när ett konferensbidrag ska anses vara refereegranskat. Arbetsgruppen gör även bedömningen att p</w:t>
      </w:r>
      <w:r w:rsidRPr="00DD78E7">
        <w:t>ublikationstype</w:t>
      </w:r>
      <w:r>
        <w:t xml:space="preserve">n </w:t>
      </w:r>
      <w:r w:rsidRPr="00DD78E7">
        <w:t>”</w:t>
      </w:r>
      <w:bookmarkStart w:id="3" w:name="_Hlk181113948"/>
      <w:r w:rsidRPr="00DD78E7">
        <w:t xml:space="preserve">Samlingsverk (redaktörskap)” bör premieras och </w:t>
      </w:r>
      <w:r>
        <w:t xml:space="preserve">på motsvarande sätt som böcker </w:t>
      </w:r>
      <w:r w:rsidRPr="00DD78E7">
        <w:t>viktas med faktor 3</w:t>
      </w:r>
      <w:bookmarkEnd w:id="3"/>
      <w:r w:rsidRPr="00DD78E7">
        <w:t>.</w:t>
      </w:r>
      <w:r>
        <w:t xml:space="preserve"> </w:t>
      </w:r>
    </w:p>
    <w:p w14:paraId="058CFDA1" w14:textId="77777777" w:rsidR="00BF09B2" w:rsidRDefault="00BF09B2" w:rsidP="00F14A56">
      <w:pPr>
        <w:tabs>
          <w:tab w:val="left" w:pos="5175"/>
        </w:tabs>
      </w:pPr>
    </w:p>
    <w:p w14:paraId="112C8C2D" w14:textId="2181A468" w:rsidR="00AC00EB" w:rsidRPr="00BF09B2" w:rsidRDefault="00BF09B2" w:rsidP="00F14A56">
      <w:pPr>
        <w:tabs>
          <w:tab w:val="left" w:pos="5175"/>
        </w:tabs>
        <w:rPr>
          <w:b/>
          <w:bCs/>
        </w:rPr>
      </w:pPr>
      <w:r w:rsidRPr="00BF09B2">
        <w:rPr>
          <w:b/>
          <w:bCs/>
        </w:rPr>
        <w:t>Medskick från arbetsgruppen</w:t>
      </w:r>
    </w:p>
    <w:p w14:paraId="212C8734" w14:textId="20E097B1" w:rsidR="00181D49" w:rsidRDefault="00BF09B2" w:rsidP="00181D49">
      <w:r>
        <w:t xml:space="preserve">Institutionerna beslutar om användningen av de forskningsmedel </w:t>
      </w:r>
      <w:r w:rsidR="00307063">
        <w:t>de</w:t>
      </w:r>
      <w:r>
        <w:t xml:space="preserve"> erhåller genom lärosätets fördelningsmodell. </w:t>
      </w:r>
      <w:r w:rsidR="00D451AB">
        <w:t xml:space="preserve">Arbetsgruppen gör dock bedömningen att det skulle vara intressant att i framtiden följa upp hur </w:t>
      </w:r>
      <w:r w:rsidR="00181D49">
        <w:t>forsknings</w:t>
      </w:r>
      <w:r w:rsidR="00307063">
        <w:t>medlen</w:t>
      </w:r>
      <w:r w:rsidR="00181D49">
        <w:t xml:space="preserve"> används</w:t>
      </w:r>
      <w:r w:rsidR="00D451AB">
        <w:t xml:space="preserve"> på aggregerad institutionsnivå</w:t>
      </w:r>
      <w:r w:rsidR="00181D49">
        <w:t xml:space="preserve">. </w:t>
      </w:r>
      <w:r w:rsidR="00D451AB">
        <w:t>Detta skulle kunna utgöra ett av underlagen för strategiska diskussioner på institutionsnivå och</w:t>
      </w:r>
      <w:r w:rsidR="007D7D19">
        <w:t xml:space="preserve"> på</w:t>
      </w:r>
      <w:r w:rsidR="00D451AB">
        <w:t xml:space="preserve"> lärosätesgemensam nivå.</w:t>
      </w:r>
    </w:p>
    <w:p w14:paraId="20265F93" w14:textId="1666A8CD" w:rsidR="00181D49" w:rsidRDefault="00D451AB" w:rsidP="00181D49">
      <w:r>
        <w:t>Arbetsgruppen gör bedömningen att det åtminstone bör ske en årlig avstämning koppla</w:t>
      </w:r>
      <w:r w:rsidR="00307063">
        <w:t>d</w:t>
      </w:r>
      <w:r>
        <w:t xml:space="preserve"> till fördelningsmodellen. Detta inte minst med tanke på kommande organisatoriska förändringar som till exempel kan föranleda behov av att fördela vissa forskningsmedel till en framtida lärarutbildningsnämnd eller annan särskild hantering av lärarutbildningsrelaterade forskningsmedel.</w:t>
      </w:r>
    </w:p>
    <w:p w14:paraId="50DB2A7B" w14:textId="77777777" w:rsidR="00181D49" w:rsidRDefault="00181D49" w:rsidP="00F14A56">
      <w:pPr>
        <w:tabs>
          <w:tab w:val="left" w:pos="5175"/>
        </w:tabs>
      </w:pPr>
    </w:p>
    <w:p w14:paraId="548F7132" w14:textId="551C65EB" w:rsidR="00AC00EB" w:rsidRPr="00AC00EB" w:rsidRDefault="00AC00EB" w:rsidP="00F14A56">
      <w:pPr>
        <w:tabs>
          <w:tab w:val="left" w:pos="5175"/>
        </w:tabs>
        <w:rPr>
          <w:b/>
          <w:bCs/>
        </w:rPr>
      </w:pPr>
      <w:r w:rsidRPr="00AC00EB">
        <w:rPr>
          <w:b/>
          <w:bCs/>
        </w:rPr>
        <w:t xml:space="preserve">Ersättning till institutionerna för omkostnader för forskarutbildningarna </w:t>
      </w:r>
    </w:p>
    <w:p w14:paraId="12C10FB1" w14:textId="4A316567" w:rsidR="00AC00EB" w:rsidRDefault="00307063" w:rsidP="00F14A56">
      <w:pPr>
        <w:tabs>
          <w:tab w:val="left" w:pos="5175"/>
        </w:tabs>
      </w:pPr>
      <w:r>
        <w:t>F</w:t>
      </w:r>
      <w:r w:rsidR="003269E0">
        <w:t>UN föreslår att ersättningen till institutionerna för omkostnader för forskarutbildningarna ska beräknas enligt</w:t>
      </w:r>
      <w:r w:rsidR="00D451AB">
        <w:t xml:space="preserve"> tabellen</w:t>
      </w:r>
      <w:r w:rsidR="003269E0">
        <w:t xml:space="preserve"> nedan</w:t>
      </w:r>
      <w:r w:rsidR="004B2666">
        <w:t>. Mer utförlig redovisning av förslaget finns i bilaga 1.</w:t>
      </w:r>
    </w:p>
    <w:tbl>
      <w:tblPr>
        <w:tblW w:w="6379" w:type="dxa"/>
        <w:tblCellMar>
          <w:left w:w="70" w:type="dxa"/>
          <w:right w:w="70" w:type="dxa"/>
        </w:tblCellMar>
        <w:tblLook w:val="04A0" w:firstRow="1" w:lastRow="0" w:firstColumn="1" w:lastColumn="0" w:noHBand="0" w:noVBand="1"/>
      </w:tblPr>
      <w:tblGrid>
        <w:gridCol w:w="1919"/>
        <w:gridCol w:w="1306"/>
        <w:gridCol w:w="1795"/>
        <w:gridCol w:w="1359"/>
      </w:tblGrid>
      <w:tr w:rsidR="003269E0" w:rsidRPr="003269E0" w14:paraId="1A82703D" w14:textId="77777777" w:rsidTr="004B2666">
        <w:trPr>
          <w:trHeight w:val="1590"/>
        </w:trPr>
        <w:tc>
          <w:tcPr>
            <w:tcW w:w="1919" w:type="dxa"/>
            <w:tcBorders>
              <w:top w:val="nil"/>
              <w:left w:val="nil"/>
              <w:bottom w:val="nil"/>
              <w:right w:val="single" w:sz="8" w:space="0" w:color="auto"/>
            </w:tcBorders>
            <w:shd w:val="clear" w:color="auto" w:fill="auto"/>
            <w:vAlign w:val="center"/>
            <w:hideMark/>
          </w:tcPr>
          <w:p w14:paraId="4D147D23"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3101" w:type="dxa"/>
            <w:gridSpan w:val="2"/>
            <w:tcBorders>
              <w:top w:val="single" w:sz="8" w:space="0" w:color="auto"/>
              <w:left w:val="nil"/>
              <w:bottom w:val="single" w:sz="8" w:space="0" w:color="auto"/>
              <w:right w:val="single" w:sz="8" w:space="0" w:color="000000"/>
            </w:tcBorders>
            <w:shd w:val="clear" w:color="auto" w:fill="auto"/>
            <w:vAlign w:val="center"/>
            <w:hideMark/>
          </w:tcPr>
          <w:p w14:paraId="26119842" w14:textId="77777777" w:rsidR="003269E0" w:rsidRPr="003269E0" w:rsidRDefault="003269E0" w:rsidP="003269E0">
            <w:pPr>
              <w:spacing w:after="0" w:line="240" w:lineRule="auto"/>
              <w:jc w:val="center"/>
              <w:rPr>
                <w:rFonts w:ascii="Arial" w:eastAsia="Times New Roman" w:hAnsi="Arial" w:cs="Arial"/>
                <w:i/>
                <w:iCs/>
                <w:sz w:val="16"/>
                <w:szCs w:val="16"/>
                <w:lang w:eastAsia="sv-SE"/>
              </w:rPr>
            </w:pPr>
            <w:r w:rsidRPr="003269E0">
              <w:rPr>
                <w:rFonts w:ascii="Arial" w:eastAsia="Times New Roman" w:hAnsi="Arial" w:cs="Arial"/>
                <w:i/>
                <w:iCs/>
                <w:sz w:val="16"/>
                <w:szCs w:val="16"/>
                <w:lang w:eastAsia="sv-SE"/>
              </w:rPr>
              <w:t>Fast ersättning vid beräkning av medelsfördelning</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0C0AEF13" w14:textId="77777777" w:rsidR="003269E0" w:rsidRPr="003269E0" w:rsidRDefault="003269E0" w:rsidP="003269E0">
            <w:pPr>
              <w:spacing w:after="0" w:line="240" w:lineRule="auto"/>
              <w:rPr>
                <w:rFonts w:ascii="Arial" w:eastAsia="Times New Roman" w:hAnsi="Arial" w:cs="Arial"/>
                <w:i/>
                <w:iCs/>
                <w:sz w:val="16"/>
                <w:szCs w:val="16"/>
                <w:lang w:eastAsia="sv-SE"/>
              </w:rPr>
            </w:pPr>
            <w:r w:rsidRPr="003269E0">
              <w:rPr>
                <w:rFonts w:ascii="Arial" w:eastAsia="Times New Roman" w:hAnsi="Arial" w:cs="Arial"/>
                <w:i/>
                <w:iCs/>
                <w:sz w:val="16"/>
                <w:szCs w:val="16"/>
                <w:lang w:eastAsia="sv-SE"/>
              </w:rPr>
              <w:t>Rörlig ersättning vid beräkning av medelsfördelning</w:t>
            </w:r>
          </w:p>
        </w:tc>
      </w:tr>
      <w:tr w:rsidR="003269E0" w:rsidRPr="003269E0" w14:paraId="3CE84BC1" w14:textId="77777777" w:rsidTr="004B2666">
        <w:trPr>
          <w:trHeight w:val="1365"/>
        </w:trPr>
        <w:tc>
          <w:tcPr>
            <w:tcW w:w="1919" w:type="dxa"/>
            <w:tcBorders>
              <w:top w:val="nil"/>
              <w:left w:val="nil"/>
              <w:bottom w:val="single" w:sz="8" w:space="0" w:color="auto"/>
              <w:right w:val="single" w:sz="8" w:space="0" w:color="auto"/>
            </w:tcBorders>
            <w:shd w:val="clear" w:color="auto" w:fill="auto"/>
            <w:vAlign w:val="center"/>
            <w:hideMark/>
          </w:tcPr>
          <w:p w14:paraId="1918A0D1"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1306" w:type="dxa"/>
            <w:tcBorders>
              <w:top w:val="nil"/>
              <w:left w:val="nil"/>
              <w:bottom w:val="single" w:sz="8" w:space="0" w:color="auto"/>
              <w:right w:val="single" w:sz="8" w:space="0" w:color="auto"/>
            </w:tcBorders>
            <w:shd w:val="clear" w:color="auto" w:fill="auto"/>
            <w:vAlign w:val="center"/>
            <w:hideMark/>
          </w:tcPr>
          <w:p w14:paraId="60DE1E6E"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Per forskar-utbildningsämne</w:t>
            </w:r>
          </w:p>
        </w:tc>
        <w:tc>
          <w:tcPr>
            <w:tcW w:w="1795" w:type="dxa"/>
            <w:tcBorders>
              <w:top w:val="nil"/>
              <w:left w:val="nil"/>
              <w:bottom w:val="single" w:sz="8" w:space="0" w:color="auto"/>
              <w:right w:val="single" w:sz="8" w:space="0" w:color="auto"/>
            </w:tcBorders>
            <w:shd w:val="clear" w:color="auto" w:fill="auto"/>
            <w:vAlign w:val="center"/>
            <w:hideMark/>
          </w:tcPr>
          <w:p w14:paraId="44425E1E"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 xml:space="preserve">Per institution med forskarutbildningsämne </w:t>
            </w:r>
          </w:p>
        </w:tc>
        <w:tc>
          <w:tcPr>
            <w:tcW w:w="1359" w:type="dxa"/>
            <w:tcBorders>
              <w:top w:val="nil"/>
              <w:left w:val="nil"/>
              <w:bottom w:val="single" w:sz="8" w:space="0" w:color="auto"/>
              <w:right w:val="single" w:sz="8" w:space="0" w:color="auto"/>
            </w:tcBorders>
            <w:shd w:val="clear" w:color="auto" w:fill="auto"/>
            <w:vAlign w:val="center"/>
            <w:hideMark/>
          </w:tcPr>
          <w:p w14:paraId="41217DEA"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 xml:space="preserve">Per aktiv doktorand och år (minst 1 %) antagen vid HDa </w:t>
            </w:r>
          </w:p>
        </w:tc>
      </w:tr>
      <w:tr w:rsidR="003269E0" w:rsidRPr="003269E0" w14:paraId="7462A9EB" w14:textId="77777777" w:rsidTr="004B2666">
        <w:trPr>
          <w:trHeight w:val="690"/>
        </w:trPr>
        <w:tc>
          <w:tcPr>
            <w:tcW w:w="1919" w:type="dxa"/>
            <w:tcBorders>
              <w:top w:val="nil"/>
              <w:left w:val="single" w:sz="8" w:space="0" w:color="auto"/>
              <w:bottom w:val="single" w:sz="8" w:space="0" w:color="auto"/>
              <w:right w:val="single" w:sz="8" w:space="0" w:color="auto"/>
            </w:tcBorders>
            <w:shd w:val="clear" w:color="auto" w:fill="auto"/>
            <w:vAlign w:val="center"/>
            <w:hideMark/>
          </w:tcPr>
          <w:p w14:paraId="71A257A0"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Forskarutbildningskurser</w:t>
            </w:r>
          </w:p>
        </w:tc>
        <w:tc>
          <w:tcPr>
            <w:tcW w:w="1306" w:type="dxa"/>
            <w:tcBorders>
              <w:top w:val="nil"/>
              <w:left w:val="nil"/>
              <w:bottom w:val="single" w:sz="8" w:space="0" w:color="auto"/>
              <w:right w:val="single" w:sz="8" w:space="0" w:color="auto"/>
            </w:tcBorders>
            <w:shd w:val="clear" w:color="auto" w:fill="auto"/>
            <w:vAlign w:val="center"/>
            <w:hideMark/>
          </w:tcPr>
          <w:p w14:paraId="7C087B66"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1 200 tkr</w:t>
            </w:r>
          </w:p>
        </w:tc>
        <w:tc>
          <w:tcPr>
            <w:tcW w:w="1795" w:type="dxa"/>
            <w:tcBorders>
              <w:top w:val="nil"/>
              <w:left w:val="nil"/>
              <w:bottom w:val="single" w:sz="8" w:space="0" w:color="auto"/>
              <w:right w:val="single" w:sz="8" w:space="0" w:color="auto"/>
            </w:tcBorders>
            <w:shd w:val="clear" w:color="auto" w:fill="auto"/>
            <w:vAlign w:val="center"/>
            <w:hideMark/>
          </w:tcPr>
          <w:p w14:paraId="6C72F602"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1359" w:type="dxa"/>
            <w:tcBorders>
              <w:top w:val="nil"/>
              <w:left w:val="nil"/>
              <w:bottom w:val="single" w:sz="8" w:space="0" w:color="auto"/>
              <w:right w:val="single" w:sz="8" w:space="0" w:color="auto"/>
            </w:tcBorders>
            <w:shd w:val="clear" w:color="auto" w:fill="auto"/>
            <w:vAlign w:val="center"/>
            <w:hideMark/>
          </w:tcPr>
          <w:p w14:paraId="1154919B"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r>
      <w:tr w:rsidR="003269E0" w:rsidRPr="003269E0" w14:paraId="64A567ED" w14:textId="77777777" w:rsidTr="004B2666">
        <w:trPr>
          <w:trHeight w:val="915"/>
        </w:trPr>
        <w:tc>
          <w:tcPr>
            <w:tcW w:w="1919" w:type="dxa"/>
            <w:tcBorders>
              <w:top w:val="nil"/>
              <w:left w:val="single" w:sz="8" w:space="0" w:color="auto"/>
              <w:bottom w:val="single" w:sz="8" w:space="0" w:color="auto"/>
              <w:right w:val="single" w:sz="8" w:space="0" w:color="auto"/>
            </w:tcBorders>
            <w:shd w:val="clear" w:color="auto" w:fill="auto"/>
            <w:vAlign w:val="center"/>
            <w:hideMark/>
          </w:tcPr>
          <w:p w14:paraId="081D8892"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Deltagande i beredningsgrupper</w:t>
            </w:r>
          </w:p>
        </w:tc>
        <w:tc>
          <w:tcPr>
            <w:tcW w:w="1306" w:type="dxa"/>
            <w:tcBorders>
              <w:top w:val="nil"/>
              <w:left w:val="nil"/>
              <w:bottom w:val="single" w:sz="8" w:space="0" w:color="auto"/>
              <w:right w:val="single" w:sz="8" w:space="0" w:color="auto"/>
            </w:tcBorders>
            <w:shd w:val="clear" w:color="auto" w:fill="auto"/>
            <w:vAlign w:val="center"/>
            <w:hideMark/>
          </w:tcPr>
          <w:p w14:paraId="700D079A"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250 tkr</w:t>
            </w:r>
          </w:p>
        </w:tc>
        <w:tc>
          <w:tcPr>
            <w:tcW w:w="1795" w:type="dxa"/>
            <w:tcBorders>
              <w:top w:val="nil"/>
              <w:left w:val="nil"/>
              <w:bottom w:val="single" w:sz="8" w:space="0" w:color="auto"/>
              <w:right w:val="single" w:sz="8" w:space="0" w:color="auto"/>
            </w:tcBorders>
            <w:shd w:val="clear" w:color="auto" w:fill="auto"/>
            <w:vAlign w:val="center"/>
            <w:hideMark/>
          </w:tcPr>
          <w:p w14:paraId="3EE9927C"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1359" w:type="dxa"/>
            <w:tcBorders>
              <w:top w:val="nil"/>
              <w:left w:val="nil"/>
              <w:bottom w:val="single" w:sz="8" w:space="0" w:color="auto"/>
              <w:right w:val="single" w:sz="8" w:space="0" w:color="auto"/>
            </w:tcBorders>
            <w:shd w:val="clear" w:color="auto" w:fill="auto"/>
            <w:vAlign w:val="center"/>
            <w:hideMark/>
          </w:tcPr>
          <w:p w14:paraId="21A57C7C"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r>
      <w:tr w:rsidR="003269E0" w:rsidRPr="003269E0" w14:paraId="2D074DD4" w14:textId="77777777" w:rsidTr="004B2666">
        <w:trPr>
          <w:trHeight w:val="465"/>
        </w:trPr>
        <w:tc>
          <w:tcPr>
            <w:tcW w:w="1919" w:type="dxa"/>
            <w:tcBorders>
              <w:top w:val="nil"/>
              <w:left w:val="single" w:sz="8" w:space="0" w:color="auto"/>
              <w:bottom w:val="single" w:sz="8" w:space="0" w:color="auto"/>
              <w:right w:val="single" w:sz="8" w:space="0" w:color="auto"/>
            </w:tcBorders>
            <w:shd w:val="clear" w:color="auto" w:fill="auto"/>
            <w:vAlign w:val="center"/>
            <w:hideMark/>
          </w:tcPr>
          <w:p w14:paraId="3890E8DB"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Ryggsäcksmedel</w:t>
            </w:r>
          </w:p>
        </w:tc>
        <w:tc>
          <w:tcPr>
            <w:tcW w:w="1306" w:type="dxa"/>
            <w:tcBorders>
              <w:top w:val="nil"/>
              <w:left w:val="nil"/>
              <w:bottom w:val="single" w:sz="8" w:space="0" w:color="auto"/>
              <w:right w:val="single" w:sz="8" w:space="0" w:color="auto"/>
            </w:tcBorders>
            <w:shd w:val="clear" w:color="auto" w:fill="auto"/>
            <w:vAlign w:val="center"/>
            <w:hideMark/>
          </w:tcPr>
          <w:p w14:paraId="2A41F9C5"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1795" w:type="dxa"/>
            <w:tcBorders>
              <w:top w:val="nil"/>
              <w:left w:val="nil"/>
              <w:bottom w:val="single" w:sz="8" w:space="0" w:color="auto"/>
              <w:right w:val="single" w:sz="8" w:space="0" w:color="auto"/>
            </w:tcBorders>
            <w:shd w:val="clear" w:color="auto" w:fill="auto"/>
            <w:vAlign w:val="center"/>
            <w:hideMark/>
          </w:tcPr>
          <w:p w14:paraId="4017B6BC"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1359" w:type="dxa"/>
            <w:tcBorders>
              <w:top w:val="nil"/>
              <w:left w:val="nil"/>
              <w:bottom w:val="single" w:sz="8" w:space="0" w:color="auto"/>
              <w:right w:val="single" w:sz="8" w:space="0" w:color="auto"/>
            </w:tcBorders>
            <w:shd w:val="clear" w:color="auto" w:fill="auto"/>
            <w:vAlign w:val="center"/>
            <w:hideMark/>
          </w:tcPr>
          <w:p w14:paraId="68CA1EAA"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15 tkr</w:t>
            </w:r>
          </w:p>
        </w:tc>
      </w:tr>
      <w:tr w:rsidR="003269E0" w:rsidRPr="003269E0" w14:paraId="36313477" w14:textId="77777777" w:rsidTr="004B2666">
        <w:trPr>
          <w:trHeight w:val="915"/>
        </w:trPr>
        <w:tc>
          <w:tcPr>
            <w:tcW w:w="1919" w:type="dxa"/>
            <w:tcBorders>
              <w:top w:val="nil"/>
              <w:left w:val="single" w:sz="8" w:space="0" w:color="auto"/>
              <w:bottom w:val="single" w:sz="8" w:space="0" w:color="auto"/>
              <w:right w:val="single" w:sz="8" w:space="0" w:color="auto"/>
            </w:tcBorders>
            <w:shd w:val="clear" w:color="auto" w:fill="auto"/>
            <w:vAlign w:val="center"/>
            <w:hideMark/>
          </w:tcPr>
          <w:p w14:paraId="0C419157"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Licentiatseminarium och disputation</w:t>
            </w:r>
          </w:p>
        </w:tc>
        <w:tc>
          <w:tcPr>
            <w:tcW w:w="1306" w:type="dxa"/>
            <w:tcBorders>
              <w:top w:val="nil"/>
              <w:left w:val="nil"/>
              <w:bottom w:val="single" w:sz="8" w:space="0" w:color="auto"/>
              <w:right w:val="single" w:sz="8" w:space="0" w:color="auto"/>
            </w:tcBorders>
            <w:shd w:val="clear" w:color="auto" w:fill="auto"/>
            <w:vAlign w:val="center"/>
            <w:hideMark/>
          </w:tcPr>
          <w:p w14:paraId="4A71697B"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1795" w:type="dxa"/>
            <w:tcBorders>
              <w:top w:val="nil"/>
              <w:left w:val="nil"/>
              <w:bottom w:val="single" w:sz="8" w:space="0" w:color="auto"/>
              <w:right w:val="single" w:sz="8" w:space="0" w:color="auto"/>
            </w:tcBorders>
            <w:shd w:val="clear" w:color="auto" w:fill="auto"/>
            <w:vAlign w:val="center"/>
            <w:hideMark/>
          </w:tcPr>
          <w:p w14:paraId="7BE87A55"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1359" w:type="dxa"/>
            <w:tcBorders>
              <w:top w:val="nil"/>
              <w:left w:val="nil"/>
              <w:bottom w:val="single" w:sz="8" w:space="0" w:color="auto"/>
              <w:right w:val="single" w:sz="8" w:space="0" w:color="auto"/>
            </w:tcBorders>
            <w:shd w:val="clear" w:color="auto" w:fill="auto"/>
            <w:vAlign w:val="center"/>
            <w:hideMark/>
          </w:tcPr>
          <w:p w14:paraId="20AA093D"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10 tkr</w:t>
            </w:r>
          </w:p>
        </w:tc>
      </w:tr>
      <w:tr w:rsidR="003269E0" w:rsidRPr="003269E0" w14:paraId="62AC4827" w14:textId="77777777" w:rsidTr="004B2666">
        <w:trPr>
          <w:trHeight w:val="690"/>
        </w:trPr>
        <w:tc>
          <w:tcPr>
            <w:tcW w:w="1919" w:type="dxa"/>
            <w:tcBorders>
              <w:top w:val="nil"/>
              <w:left w:val="single" w:sz="8" w:space="0" w:color="auto"/>
              <w:bottom w:val="single" w:sz="8" w:space="0" w:color="auto"/>
              <w:right w:val="single" w:sz="8" w:space="0" w:color="auto"/>
            </w:tcBorders>
            <w:shd w:val="clear" w:color="auto" w:fill="auto"/>
            <w:vAlign w:val="center"/>
            <w:hideMark/>
          </w:tcPr>
          <w:p w14:paraId="18B681C4" w14:textId="77777777" w:rsidR="003269E0" w:rsidRPr="003269E0" w:rsidRDefault="003269E0" w:rsidP="003269E0">
            <w:pPr>
              <w:spacing w:after="0" w:line="240" w:lineRule="auto"/>
              <w:rPr>
                <w:rFonts w:ascii="Arial" w:eastAsia="Times New Roman" w:hAnsi="Arial" w:cs="Arial"/>
                <w:sz w:val="16"/>
                <w:szCs w:val="16"/>
                <w:lang w:eastAsia="sv-SE"/>
              </w:rPr>
            </w:pPr>
            <w:r w:rsidRPr="003269E0">
              <w:rPr>
                <w:rFonts w:ascii="Arial" w:eastAsia="Times New Roman" w:hAnsi="Arial" w:cs="Arial"/>
                <w:sz w:val="16"/>
                <w:szCs w:val="16"/>
                <w:lang w:eastAsia="sv-SE"/>
              </w:rPr>
              <w:t>Institutionsgemensamma aktiviteter</w:t>
            </w:r>
          </w:p>
        </w:tc>
        <w:tc>
          <w:tcPr>
            <w:tcW w:w="1306" w:type="dxa"/>
            <w:tcBorders>
              <w:top w:val="nil"/>
              <w:left w:val="nil"/>
              <w:bottom w:val="single" w:sz="8" w:space="0" w:color="auto"/>
              <w:right w:val="single" w:sz="8" w:space="0" w:color="auto"/>
            </w:tcBorders>
            <w:shd w:val="clear" w:color="auto" w:fill="auto"/>
            <w:vAlign w:val="center"/>
            <w:hideMark/>
          </w:tcPr>
          <w:p w14:paraId="2C9CE916"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c>
          <w:tcPr>
            <w:tcW w:w="1795" w:type="dxa"/>
            <w:tcBorders>
              <w:top w:val="nil"/>
              <w:left w:val="nil"/>
              <w:bottom w:val="single" w:sz="8" w:space="0" w:color="auto"/>
              <w:right w:val="single" w:sz="8" w:space="0" w:color="auto"/>
            </w:tcBorders>
            <w:shd w:val="clear" w:color="auto" w:fill="auto"/>
            <w:vAlign w:val="center"/>
            <w:hideMark/>
          </w:tcPr>
          <w:p w14:paraId="1AA6C344"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50 tkr</w:t>
            </w:r>
          </w:p>
        </w:tc>
        <w:tc>
          <w:tcPr>
            <w:tcW w:w="1359" w:type="dxa"/>
            <w:tcBorders>
              <w:top w:val="nil"/>
              <w:left w:val="nil"/>
              <w:bottom w:val="single" w:sz="8" w:space="0" w:color="auto"/>
              <w:right w:val="single" w:sz="8" w:space="0" w:color="auto"/>
            </w:tcBorders>
            <w:shd w:val="clear" w:color="auto" w:fill="auto"/>
            <w:vAlign w:val="center"/>
            <w:hideMark/>
          </w:tcPr>
          <w:p w14:paraId="0A9DCC1E" w14:textId="77777777" w:rsidR="003269E0" w:rsidRPr="003269E0" w:rsidRDefault="003269E0" w:rsidP="003269E0">
            <w:pPr>
              <w:spacing w:after="0" w:line="240" w:lineRule="auto"/>
              <w:jc w:val="right"/>
              <w:rPr>
                <w:rFonts w:ascii="Arial" w:eastAsia="Times New Roman" w:hAnsi="Arial" w:cs="Arial"/>
                <w:sz w:val="16"/>
                <w:szCs w:val="16"/>
                <w:lang w:eastAsia="sv-SE"/>
              </w:rPr>
            </w:pPr>
            <w:r w:rsidRPr="003269E0">
              <w:rPr>
                <w:rFonts w:ascii="Arial" w:eastAsia="Times New Roman" w:hAnsi="Arial" w:cs="Arial"/>
                <w:sz w:val="16"/>
                <w:szCs w:val="16"/>
                <w:lang w:eastAsia="sv-SE"/>
              </w:rPr>
              <w:t> </w:t>
            </w:r>
          </w:p>
        </w:tc>
      </w:tr>
    </w:tbl>
    <w:p w14:paraId="7F2BD533" w14:textId="77777777" w:rsidR="003269E0" w:rsidRDefault="003269E0" w:rsidP="00F14A56">
      <w:pPr>
        <w:tabs>
          <w:tab w:val="left" w:pos="5175"/>
        </w:tabs>
      </w:pPr>
    </w:p>
    <w:p w14:paraId="6C0019F1" w14:textId="28A61988" w:rsidR="003269E0" w:rsidRDefault="003269E0" w:rsidP="00F14A56">
      <w:pPr>
        <w:tabs>
          <w:tab w:val="left" w:pos="5175"/>
        </w:tabs>
      </w:pPr>
      <w:r>
        <w:t>En simulering avseende medelsberäkningen för år 2025 visar att den totala kostnaden för omkostnader för forskarutbildning</w:t>
      </w:r>
      <w:r w:rsidR="00D451AB">
        <w:t>ar</w:t>
      </w:r>
      <w:r>
        <w:t xml:space="preserve"> </w:t>
      </w:r>
      <w:r w:rsidR="00307063">
        <w:t xml:space="preserve">i princip </w:t>
      </w:r>
      <w:r>
        <w:t xml:space="preserve">skulle bli oförändrad </w:t>
      </w:r>
      <w:r w:rsidR="00307063">
        <w:t xml:space="preserve">med det nya förslaget. Däremot skulle det </w:t>
      </w:r>
      <w:r>
        <w:t xml:space="preserve">resultera i viss omfördelning av medel från miljöer med färre doktorander till miljöer med fler doktorander. </w:t>
      </w:r>
    </w:p>
    <w:p w14:paraId="0D914510" w14:textId="3A1D9606" w:rsidR="003269E0" w:rsidRDefault="00D451AB" w:rsidP="00F14A56">
      <w:pPr>
        <w:tabs>
          <w:tab w:val="left" w:pos="5175"/>
        </w:tabs>
      </w:pPr>
      <w:r>
        <w:t>FUN</w:t>
      </w:r>
      <w:r w:rsidR="003269E0">
        <w:t xml:space="preserve"> föreslår att utöver ersättningen till institutionerna ovan bör medel reserveras centralt för att finansiera högskolegemensamma forskarutbildningskurser (preliminärt 500 tkr per år) och högskoleövergripande aktiviteter för doktorander (ca 100 tkr per år).</w:t>
      </w:r>
    </w:p>
    <w:p w14:paraId="59129F31" w14:textId="77777777" w:rsidR="00D451AB" w:rsidRDefault="00D451AB" w:rsidP="00F14A56">
      <w:pPr>
        <w:tabs>
          <w:tab w:val="left" w:pos="5175"/>
        </w:tabs>
        <w:rPr>
          <w:b/>
          <w:bCs/>
        </w:rPr>
      </w:pPr>
    </w:p>
    <w:p w14:paraId="1453CEE2" w14:textId="77777777" w:rsidR="00307063" w:rsidRDefault="00307063">
      <w:pPr>
        <w:spacing w:after="160"/>
        <w:rPr>
          <w:b/>
          <w:bCs/>
        </w:rPr>
      </w:pPr>
      <w:r>
        <w:rPr>
          <w:b/>
          <w:bCs/>
        </w:rPr>
        <w:br w:type="page"/>
      </w:r>
    </w:p>
    <w:p w14:paraId="09E5CC88" w14:textId="072E3FD7" w:rsidR="00AC00EB" w:rsidRPr="00AC00EB" w:rsidRDefault="00AC00EB" w:rsidP="00F14A56">
      <w:pPr>
        <w:tabs>
          <w:tab w:val="left" w:pos="5175"/>
        </w:tabs>
        <w:rPr>
          <w:b/>
          <w:bCs/>
        </w:rPr>
      </w:pPr>
      <w:r w:rsidRPr="00AC00EB">
        <w:rPr>
          <w:b/>
          <w:bCs/>
        </w:rPr>
        <w:t>Ersättning till institutionerna för studierektorer inom forskarutbildningarna</w:t>
      </w:r>
      <w:r w:rsidR="003269E0">
        <w:rPr>
          <w:b/>
          <w:bCs/>
        </w:rPr>
        <w:t xml:space="preserve"> </w:t>
      </w:r>
    </w:p>
    <w:p w14:paraId="457F71F5" w14:textId="792EB186" w:rsidR="00F30FA7" w:rsidRDefault="00D451AB" w:rsidP="00F14A56">
      <w:pPr>
        <w:tabs>
          <w:tab w:val="left" w:pos="5175"/>
        </w:tabs>
      </w:pPr>
      <w:r>
        <w:t>FUN</w:t>
      </w:r>
      <w:r w:rsidR="003269E0">
        <w:t xml:space="preserve"> föreslår att medel </w:t>
      </w:r>
      <w:r w:rsidR="00307063">
        <w:t xml:space="preserve">för studierektorskap </w:t>
      </w:r>
      <w:r w:rsidR="003269E0">
        <w:t>avsätts till institutioner med forskarutbildnings</w:t>
      </w:r>
      <w:r w:rsidR="004B2666">
        <w:t xml:space="preserve">ämnen. </w:t>
      </w:r>
      <w:r w:rsidR="004B2666" w:rsidRPr="004B2666">
        <w:t xml:space="preserve">Ersättningen till institutionerna föreslås utgöras av en fast ersättning med </w:t>
      </w:r>
      <w:r w:rsidR="004B2666">
        <w:t>500 tkr</w:t>
      </w:r>
      <w:r w:rsidR="004B2666" w:rsidRPr="004B2666">
        <w:t xml:space="preserve"> per forskarutbildningsämne och en rörlig ersättning med 15 tkr per aktiv doktorand antagen till forskarutbildning vid Högskolan Dalarna (medelvärde under de tre senaste åren).</w:t>
      </w:r>
      <w:r w:rsidR="004B2666">
        <w:t xml:space="preserve"> Mer utförlig redovisning av förslaget finns i bilaga 1.</w:t>
      </w:r>
    </w:p>
    <w:p w14:paraId="45316F6C" w14:textId="77777777" w:rsidR="00D451AB" w:rsidRDefault="00D451AB" w:rsidP="00F14A56">
      <w:pPr>
        <w:tabs>
          <w:tab w:val="left" w:pos="5175"/>
        </w:tabs>
        <w:rPr>
          <w:b/>
          <w:bCs/>
        </w:rPr>
      </w:pPr>
    </w:p>
    <w:p w14:paraId="39A81E92" w14:textId="069CB752" w:rsidR="003269E0" w:rsidRPr="004B2666" w:rsidRDefault="003269E0" w:rsidP="00F14A56">
      <w:pPr>
        <w:tabs>
          <w:tab w:val="left" w:pos="5175"/>
        </w:tabs>
        <w:rPr>
          <w:b/>
          <w:bCs/>
        </w:rPr>
      </w:pPr>
      <w:r w:rsidRPr="004B2666">
        <w:rPr>
          <w:b/>
          <w:bCs/>
        </w:rPr>
        <w:t>Medskick från FUN</w:t>
      </w:r>
    </w:p>
    <w:p w14:paraId="5EA22B3B" w14:textId="56B5D516" w:rsidR="008B6E2C" w:rsidRDefault="003269E0" w:rsidP="00F14A56">
      <w:pPr>
        <w:tabs>
          <w:tab w:val="left" w:pos="5175"/>
        </w:tabs>
      </w:pPr>
      <w:r>
        <w:t xml:space="preserve">Uppdraget till FUN att lämna förslag till UFN om ersättning till institutionerna inkluderar inte handledning och medfinansiering av doktorandlöner som i fördelningsmodellen är inkluderade i det s.k. basanslaget för forskning. Däremot gör </w:t>
      </w:r>
      <w:r w:rsidR="004B2666">
        <w:t xml:space="preserve">FUN </w:t>
      </w:r>
      <w:r>
        <w:t xml:space="preserve">bedömningen att det är mycket angeläget att </w:t>
      </w:r>
      <w:r w:rsidR="004B2666">
        <w:t xml:space="preserve">en översyn av handledningsresurserna </w:t>
      </w:r>
      <w:r>
        <w:t>genomför</w:t>
      </w:r>
      <w:r w:rsidR="004B2666">
        <w:t>s</w:t>
      </w:r>
      <w:r>
        <w:t xml:space="preserve"> i syfte att säkerställa samtliga doktoranders lika rätt till handledning. Detta inte minst med anledning av det nya arbetstidsavtalet som riskerar att få olika tillämpning vid olika institutioner.</w:t>
      </w:r>
    </w:p>
    <w:sectPr w:rsidR="008B6E2C" w:rsidSect="00C16D55">
      <w:footerReference w:type="default" r:id="rId11"/>
      <w:headerReference w:type="first" r:id="rId12"/>
      <w:footerReference w:type="first" r:id="rId1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2DEE" w14:textId="77777777" w:rsidR="005245D8" w:rsidRDefault="005245D8" w:rsidP="002D3AAC">
      <w:r>
        <w:separator/>
      </w:r>
    </w:p>
  </w:endnote>
  <w:endnote w:type="continuationSeparator" w:id="0">
    <w:p w14:paraId="06FAFFEB" w14:textId="77777777" w:rsidR="005245D8" w:rsidRDefault="005245D8" w:rsidP="002D3AAC">
      <w:r>
        <w:continuationSeparator/>
      </w:r>
    </w:p>
  </w:endnote>
  <w:endnote w:type="continuationNotice" w:id="1">
    <w:p w14:paraId="2569AFB1" w14:textId="77777777" w:rsidR="005245D8" w:rsidRDefault="00524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8ADE" w14:textId="77777777" w:rsidR="003F474E" w:rsidRPr="008A4E9E" w:rsidRDefault="005245D8" w:rsidP="003F474E">
    <w:pPr>
      <w:pStyle w:val="Sidfot"/>
      <w:jc w:val="righ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559C5DEF"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EndPr/>
    <w:sdtContent>
      <w:sdt>
        <w:sdtPr>
          <w:id w:val="-1769616900"/>
          <w:docPartObj>
            <w:docPartGallery w:val="Page Numbers (Top of Page)"/>
            <w:docPartUnique/>
          </w:docPartObj>
        </w:sdtPr>
        <w:sdtEndPr/>
        <w:sdtContent>
          <w:p w14:paraId="13D1FC0E" w14:textId="77777777" w:rsidR="003F474E" w:rsidRPr="008A4E9E" w:rsidRDefault="003F474E">
            <w:pPr>
              <w:pStyle w:val="Sidfot"/>
              <w:jc w:val="righ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79BF6658" w14:textId="77777777" w:rsidR="003F474E" w:rsidRDefault="003F4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728D" w14:textId="77777777" w:rsidR="005245D8" w:rsidRDefault="005245D8" w:rsidP="002D3AAC">
      <w:r>
        <w:separator/>
      </w:r>
    </w:p>
  </w:footnote>
  <w:footnote w:type="continuationSeparator" w:id="0">
    <w:p w14:paraId="461061B4" w14:textId="77777777" w:rsidR="005245D8" w:rsidRDefault="005245D8" w:rsidP="002D3AAC">
      <w:r>
        <w:continuationSeparator/>
      </w:r>
    </w:p>
  </w:footnote>
  <w:footnote w:type="continuationNotice" w:id="1">
    <w:p w14:paraId="5AF99D5F" w14:textId="77777777" w:rsidR="005245D8" w:rsidRDefault="005245D8">
      <w:pPr>
        <w:spacing w:after="0" w:line="240" w:lineRule="auto"/>
      </w:pPr>
    </w:p>
  </w:footnote>
  <w:footnote w:id="2">
    <w:p w14:paraId="1457B4EA" w14:textId="77777777" w:rsidR="00627D42" w:rsidRPr="00875924" w:rsidRDefault="00627D42" w:rsidP="00627D42">
      <w:pPr>
        <w:pStyle w:val="Fotnotstext"/>
        <w:rPr>
          <w:lang w:val="en-US"/>
        </w:rPr>
      </w:pPr>
      <w:r>
        <w:rPr>
          <w:rStyle w:val="Fotnotsreferens"/>
        </w:rPr>
        <w:footnoteRef/>
      </w:r>
      <w:r w:rsidRPr="00875924">
        <w:rPr>
          <w:lang w:val="en-US"/>
        </w:rPr>
        <w:t xml:space="preserve"> Introduction - Understanding Predatory Publishing - Research Guides at Princeton University, </w:t>
      </w:r>
    </w:p>
    <w:p w14:paraId="03C42484" w14:textId="77777777" w:rsidR="00627D42" w:rsidRPr="00875924" w:rsidRDefault="00627D42" w:rsidP="00627D42">
      <w:pPr>
        <w:pStyle w:val="Fotnotstext"/>
        <w:rPr>
          <w:lang w:val="en-US"/>
        </w:rPr>
      </w:pPr>
      <w:hyperlink r:id="rId1" w:history="1">
        <w:r w:rsidRPr="00511872">
          <w:rPr>
            <w:rStyle w:val="Hyperlnk"/>
            <w:lang w:val="en-US"/>
          </w:rPr>
          <w:t>https://libguides.princeton.edu/c.php?g=1101388&amp;p=8031747</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15E79F82" w14:textId="77777777" w:rsidTr="00D40FCA">
      <w:trPr>
        <w:trHeight w:val="283"/>
      </w:trPr>
      <w:tc>
        <w:tcPr>
          <w:tcW w:w="4931" w:type="dxa"/>
          <w:vMerge w:val="restart"/>
          <w:shd w:val="clear" w:color="auto" w:fill="auto"/>
        </w:tcPr>
        <w:p w14:paraId="417B070D"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27CA45E1" w14:textId="77777777" w:rsidR="00C50796" w:rsidRPr="00B3619D" w:rsidRDefault="00C50796" w:rsidP="00C50796">
          <w:pPr>
            <w:pStyle w:val="Sidhuvud"/>
            <w:tabs>
              <w:tab w:val="clear" w:pos="4536"/>
            </w:tabs>
            <w:rPr>
              <w:rFonts w:ascii="Arial" w:hAnsi="Arial" w:cs="Arial"/>
              <w:b/>
              <w:bCs/>
              <w:color w:val="auto"/>
            </w:rPr>
          </w:pPr>
          <w:r w:rsidRPr="00B3619D">
            <w:rPr>
              <w:rFonts w:ascii="Arial" w:hAnsi="Arial" w:cs="Arial"/>
              <w:b/>
              <w:bCs/>
              <w:color w:val="auto"/>
            </w:rPr>
            <w:t>PM</w:t>
          </w:r>
        </w:p>
      </w:tc>
    </w:tr>
    <w:tr w:rsidR="00C50796" w:rsidRPr="007170B6" w14:paraId="237A302E" w14:textId="77777777" w:rsidTr="00D40FCA">
      <w:trPr>
        <w:trHeight w:val="227"/>
      </w:trPr>
      <w:tc>
        <w:tcPr>
          <w:tcW w:w="4931" w:type="dxa"/>
          <w:vMerge/>
          <w:shd w:val="clear" w:color="auto" w:fill="auto"/>
        </w:tcPr>
        <w:p w14:paraId="71DEFEBD" w14:textId="77777777" w:rsidR="00C50796" w:rsidRPr="00B3619D" w:rsidRDefault="00C50796" w:rsidP="00C50796">
          <w:pPr>
            <w:pStyle w:val="Sidhuvud"/>
            <w:rPr>
              <w:color w:val="auto"/>
            </w:rPr>
          </w:pPr>
        </w:p>
      </w:tc>
      <w:tc>
        <w:tcPr>
          <w:tcW w:w="4566" w:type="dxa"/>
          <w:shd w:val="clear" w:color="auto" w:fill="auto"/>
          <w:noWrap/>
        </w:tcPr>
        <w:p w14:paraId="12DF8190" w14:textId="77777777" w:rsidR="00C50796" w:rsidRPr="00B3619D" w:rsidRDefault="00C50796" w:rsidP="00C50796">
          <w:pPr>
            <w:pStyle w:val="Sidhuvud"/>
            <w:tabs>
              <w:tab w:val="clear" w:pos="4536"/>
            </w:tabs>
            <w:rPr>
              <w:color w:val="auto"/>
              <w:sz w:val="18"/>
              <w:szCs w:val="18"/>
            </w:rPr>
          </w:pPr>
        </w:p>
      </w:tc>
    </w:tr>
    <w:tr w:rsidR="00C50796" w:rsidRPr="00E47E54" w14:paraId="341B625E" w14:textId="77777777" w:rsidTr="00D40FCA">
      <w:trPr>
        <w:trHeight w:val="227"/>
      </w:trPr>
      <w:tc>
        <w:tcPr>
          <w:tcW w:w="4931" w:type="dxa"/>
          <w:vMerge/>
          <w:shd w:val="clear" w:color="auto" w:fill="auto"/>
        </w:tcPr>
        <w:p w14:paraId="21971766"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3C6970DB" w14:textId="77777777" w:rsidR="00C50796" w:rsidRPr="00B3619D" w:rsidRDefault="00C50796" w:rsidP="00C50796">
          <w:pPr>
            <w:pStyle w:val="Sidhuvud"/>
            <w:tabs>
              <w:tab w:val="clear" w:pos="4536"/>
            </w:tabs>
            <w:rPr>
              <w:color w:val="auto"/>
            </w:rPr>
          </w:pPr>
          <w:r w:rsidRPr="00B3619D">
            <w:rPr>
              <w:rFonts w:ascii="Arial" w:hAnsi="Arial" w:cs="Arial"/>
              <w:color w:val="auto"/>
              <w:sz w:val="18"/>
              <w:szCs w:val="18"/>
            </w:rPr>
            <w:t>Datum</w:t>
          </w:r>
        </w:p>
      </w:tc>
    </w:tr>
    <w:tr w:rsidR="00C50796" w:rsidRPr="008B443B" w14:paraId="09E8D774" w14:textId="77777777" w:rsidTr="00D40FCA">
      <w:trPr>
        <w:trHeight w:val="227"/>
      </w:trPr>
      <w:tc>
        <w:tcPr>
          <w:tcW w:w="4931" w:type="dxa"/>
          <w:vMerge/>
          <w:shd w:val="clear" w:color="auto" w:fill="auto"/>
        </w:tcPr>
        <w:p w14:paraId="19997DB4" w14:textId="77777777" w:rsidR="00C50796" w:rsidRPr="00B3619D" w:rsidRDefault="00C50796" w:rsidP="00C50796">
          <w:pPr>
            <w:pStyle w:val="Sidhuvud"/>
            <w:rPr>
              <w:color w:val="auto"/>
            </w:rPr>
          </w:pPr>
        </w:p>
      </w:tc>
      <w:tc>
        <w:tcPr>
          <w:tcW w:w="4566" w:type="dxa"/>
          <w:shd w:val="clear" w:color="auto" w:fill="auto"/>
          <w:noWrap/>
        </w:tcPr>
        <w:p w14:paraId="307815CB" w14:textId="0D2CF6D5" w:rsidR="00C50796" w:rsidRPr="00B3619D" w:rsidRDefault="005245D8" w:rsidP="00C50796">
          <w:pPr>
            <w:pStyle w:val="Sidhuvud"/>
            <w:tabs>
              <w:tab w:val="clear" w:pos="4536"/>
            </w:tabs>
            <w:rPr>
              <w:color w:val="auto"/>
            </w:rPr>
          </w:pPr>
          <w:sdt>
            <w:sdtPr>
              <w:rPr>
                <w:color w:val="auto"/>
              </w:rPr>
              <w:alias w:val="Mötesdatum"/>
              <w:tag w:val="Mötesdatum"/>
              <w:id w:val="1699353860"/>
              <w:date w:fullDate="2024-11-13T00:00:00Z">
                <w:dateFormat w:val="yyyy-MM-dd"/>
                <w:lid w:val="sv-SE"/>
                <w:storeMappedDataAs w:val="dateTime"/>
                <w:calendar w:val="gregorian"/>
              </w:date>
            </w:sdtPr>
            <w:sdtEndPr/>
            <w:sdtContent>
              <w:r w:rsidR="00F1621E">
                <w:rPr>
                  <w:color w:val="auto"/>
                </w:rPr>
                <w:t>2024-11-13</w:t>
              </w:r>
            </w:sdtContent>
          </w:sdt>
        </w:p>
      </w:tc>
    </w:tr>
    <w:tr w:rsidR="00C50796" w:rsidRPr="00E47E54" w14:paraId="7749A391" w14:textId="77777777" w:rsidTr="00D40FCA">
      <w:trPr>
        <w:trHeight w:val="227"/>
      </w:trPr>
      <w:tc>
        <w:tcPr>
          <w:tcW w:w="4931" w:type="dxa"/>
          <w:vMerge/>
          <w:shd w:val="clear" w:color="auto" w:fill="auto"/>
        </w:tcPr>
        <w:p w14:paraId="449E344A" w14:textId="77777777" w:rsidR="00C50796" w:rsidRPr="00B3619D" w:rsidRDefault="00C50796" w:rsidP="00C50796">
          <w:pPr>
            <w:pStyle w:val="Sidhuvud"/>
            <w:rPr>
              <w:color w:val="auto"/>
              <w:sz w:val="18"/>
              <w:szCs w:val="18"/>
            </w:rPr>
          </w:pPr>
        </w:p>
      </w:tc>
      <w:tc>
        <w:tcPr>
          <w:tcW w:w="4566" w:type="dxa"/>
          <w:shd w:val="clear" w:color="auto" w:fill="auto"/>
          <w:noWrap/>
        </w:tcPr>
        <w:p w14:paraId="0448C8BD" w14:textId="77777777" w:rsidR="00C50796" w:rsidRPr="00B3619D" w:rsidRDefault="00C50796" w:rsidP="00C50796">
          <w:pPr>
            <w:pStyle w:val="Sidhuvud"/>
            <w:tabs>
              <w:tab w:val="clear" w:pos="4536"/>
            </w:tabs>
            <w:rPr>
              <w:color w:val="auto"/>
              <w:sz w:val="18"/>
              <w:szCs w:val="18"/>
            </w:rPr>
          </w:pPr>
        </w:p>
      </w:tc>
    </w:tr>
    <w:tr w:rsidR="00C50796" w:rsidRPr="00E47E54" w14:paraId="147CAD91" w14:textId="77777777" w:rsidTr="00D40FCA">
      <w:trPr>
        <w:trHeight w:val="227"/>
      </w:trPr>
      <w:tc>
        <w:tcPr>
          <w:tcW w:w="4931" w:type="dxa"/>
          <w:vMerge/>
          <w:shd w:val="clear" w:color="auto" w:fill="auto"/>
        </w:tcPr>
        <w:p w14:paraId="5F14F89F"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4292CAD9" w14:textId="77777777" w:rsidR="00C50796" w:rsidRPr="00B3619D" w:rsidRDefault="00C50796" w:rsidP="00C50796">
          <w:pPr>
            <w:pStyle w:val="Sidhuvud"/>
            <w:tabs>
              <w:tab w:val="clear" w:pos="4536"/>
            </w:tabs>
            <w:rPr>
              <w:color w:val="auto"/>
              <w:sz w:val="18"/>
              <w:szCs w:val="18"/>
            </w:rPr>
          </w:pPr>
          <w:r w:rsidRPr="00B3619D">
            <w:rPr>
              <w:rFonts w:ascii="Arial" w:hAnsi="Arial" w:cs="Arial"/>
              <w:color w:val="auto"/>
              <w:sz w:val="18"/>
              <w:szCs w:val="18"/>
            </w:rPr>
            <w:t>Diarienummer</w:t>
          </w:r>
        </w:p>
      </w:tc>
    </w:tr>
    <w:tr w:rsidR="00C50796" w:rsidRPr="008B443B" w14:paraId="47E37B41" w14:textId="77777777" w:rsidTr="00D40FCA">
      <w:trPr>
        <w:trHeight w:val="227"/>
      </w:trPr>
      <w:tc>
        <w:tcPr>
          <w:tcW w:w="4931" w:type="dxa"/>
          <w:vMerge/>
          <w:shd w:val="clear" w:color="auto" w:fill="auto"/>
        </w:tcPr>
        <w:p w14:paraId="0E1B5923" w14:textId="77777777" w:rsidR="00C50796" w:rsidRPr="00B3619D" w:rsidRDefault="00C50796" w:rsidP="00C50796">
          <w:pPr>
            <w:pStyle w:val="Sidhuvud"/>
            <w:rPr>
              <w:color w:val="auto"/>
            </w:rPr>
          </w:pPr>
        </w:p>
      </w:tc>
      <w:tc>
        <w:tcPr>
          <w:tcW w:w="4566" w:type="dxa"/>
          <w:shd w:val="clear" w:color="auto" w:fill="auto"/>
          <w:noWrap/>
        </w:tcPr>
        <w:p w14:paraId="4A3755CD" w14:textId="47039212" w:rsidR="00C50796" w:rsidRPr="00B3619D" w:rsidRDefault="005245D8" w:rsidP="00C50796">
          <w:pPr>
            <w:pStyle w:val="Sidhuvud"/>
            <w:tabs>
              <w:tab w:val="clear" w:pos="4536"/>
              <w:tab w:val="clear" w:pos="9072"/>
            </w:tabs>
            <w:rPr>
              <w:color w:val="auto"/>
            </w:rPr>
          </w:pPr>
          <w:sdt>
            <w:sdtPr>
              <w:rPr>
                <w:color w:val="auto"/>
              </w:rPr>
              <w:alias w:val="Diarienummer"/>
              <w:tag w:val="Diarienummer"/>
              <w:id w:val="1143460067"/>
              <w:text/>
            </w:sdtPr>
            <w:sdtEndPr/>
            <w:sdtContent>
              <w:r w:rsidR="00F1621E">
                <w:rPr>
                  <w:color w:val="auto"/>
                </w:rPr>
                <w:t>C 2024/1960</w:t>
              </w:r>
            </w:sdtContent>
          </w:sdt>
        </w:p>
      </w:tc>
    </w:tr>
    <w:tr w:rsidR="00C50796" w:rsidRPr="00E47E54" w14:paraId="183E31BC" w14:textId="77777777" w:rsidTr="00D40FCA">
      <w:trPr>
        <w:trHeight w:val="227"/>
      </w:trPr>
      <w:tc>
        <w:tcPr>
          <w:tcW w:w="4931" w:type="dxa"/>
          <w:vMerge/>
          <w:shd w:val="clear" w:color="auto" w:fill="auto"/>
        </w:tcPr>
        <w:p w14:paraId="7CFC4806" w14:textId="77777777" w:rsidR="00C50796" w:rsidRPr="00E47E54" w:rsidRDefault="00C50796" w:rsidP="00C50796">
          <w:pPr>
            <w:pStyle w:val="Sidhuvud"/>
          </w:pPr>
        </w:p>
      </w:tc>
      <w:tc>
        <w:tcPr>
          <w:tcW w:w="4566" w:type="dxa"/>
          <w:shd w:val="clear" w:color="auto" w:fill="auto"/>
          <w:noWrap/>
        </w:tcPr>
        <w:p w14:paraId="7563FF18" w14:textId="77777777" w:rsidR="00C50796" w:rsidRPr="00E47E54" w:rsidRDefault="00C50796" w:rsidP="00C50796">
          <w:pPr>
            <w:pStyle w:val="Sidhuvud"/>
            <w:tabs>
              <w:tab w:val="clear" w:pos="4536"/>
            </w:tabs>
          </w:pPr>
        </w:p>
      </w:tc>
    </w:tr>
    <w:tr w:rsidR="00C50796" w:rsidRPr="00E47E54" w14:paraId="0F749587" w14:textId="77777777" w:rsidTr="00D40FCA">
      <w:trPr>
        <w:trHeight w:val="227"/>
      </w:trPr>
      <w:tc>
        <w:tcPr>
          <w:tcW w:w="4931" w:type="dxa"/>
          <w:vMerge/>
          <w:shd w:val="clear" w:color="auto" w:fill="auto"/>
          <w:vAlign w:val="bottom"/>
        </w:tcPr>
        <w:p w14:paraId="2506B012" w14:textId="77777777" w:rsidR="00C50796" w:rsidRPr="00E47E54" w:rsidRDefault="00C50796" w:rsidP="00C50796">
          <w:pPr>
            <w:pStyle w:val="Sidhuvud"/>
          </w:pPr>
        </w:p>
      </w:tc>
      <w:tc>
        <w:tcPr>
          <w:tcW w:w="4566" w:type="dxa"/>
          <w:shd w:val="clear" w:color="auto" w:fill="auto"/>
          <w:noWrap/>
        </w:tcPr>
        <w:p w14:paraId="0C9D73EA" w14:textId="77777777" w:rsidR="00C50796" w:rsidRPr="00E47E54" w:rsidRDefault="00C50796" w:rsidP="00C50796">
          <w:pPr>
            <w:pStyle w:val="Sidhuvud"/>
            <w:tabs>
              <w:tab w:val="clear" w:pos="4536"/>
            </w:tabs>
          </w:pPr>
        </w:p>
      </w:tc>
    </w:tr>
    <w:tr w:rsidR="00C50796" w:rsidRPr="008B443B" w14:paraId="3192D032" w14:textId="77777777" w:rsidTr="00D40FCA">
      <w:trPr>
        <w:trHeight w:val="227"/>
      </w:trPr>
      <w:tc>
        <w:tcPr>
          <w:tcW w:w="4931" w:type="dxa"/>
          <w:vMerge/>
          <w:shd w:val="clear" w:color="auto" w:fill="auto"/>
          <w:vAlign w:val="bottom"/>
        </w:tcPr>
        <w:p w14:paraId="06991465" w14:textId="77777777" w:rsidR="00C50796" w:rsidRPr="00E47E54" w:rsidRDefault="00C50796" w:rsidP="00C50796">
          <w:pPr>
            <w:pStyle w:val="Sidhuvud"/>
          </w:pPr>
        </w:p>
      </w:tc>
      <w:tc>
        <w:tcPr>
          <w:tcW w:w="4566" w:type="dxa"/>
          <w:shd w:val="clear" w:color="auto" w:fill="auto"/>
          <w:noWrap/>
        </w:tcPr>
        <w:p w14:paraId="39B00A95" w14:textId="77777777" w:rsidR="00C50796" w:rsidRPr="008B443B" w:rsidRDefault="00C50796" w:rsidP="00C50796">
          <w:pPr>
            <w:pStyle w:val="Sidhuvud"/>
            <w:tabs>
              <w:tab w:val="clear" w:pos="4536"/>
            </w:tabs>
          </w:pPr>
        </w:p>
      </w:tc>
    </w:tr>
  </w:tbl>
  <w:p w14:paraId="6849CE60" w14:textId="77777777" w:rsidR="00BD5973" w:rsidRDefault="00BD5973">
    <w:pPr>
      <w:pStyle w:val="Sidhuvud"/>
    </w:pPr>
    <w:r w:rsidRPr="00E47E54">
      <w:rPr>
        <w:noProof/>
      </w:rPr>
      <w:drawing>
        <wp:anchor distT="0" distB="0" distL="114300" distR="114300" simplePos="0" relativeHeight="251668480" behindDoc="0" locked="1" layoutInCell="1" allowOverlap="0" wp14:anchorId="51A9DB76" wp14:editId="7C552BEF">
          <wp:simplePos x="0" y="0"/>
          <wp:positionH relativeFrom="margin">
            <wp:posOffset>0</wp:posOffset>
          </wp:positionH>
          <wp:positionV relativeFrom="page">
            <wp:posOffset>658495</wp:posOffset>
          </wp:positionV>
          <wp:extent cx="838800" cy="900000"/>
          <wp:effectExtent l="0" t="0" r="0" b="0"/>
          <wp:wrapNone/>
          <wp:docPr id="64" name="Bildobjekt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E9"/>
    <w:multiLevelType w:val="hybridMultilevel"/>
    <w:tmpl w:val="8534C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0D757B96"/>
    <w:multiLevelType w:val="hybridMultilevel"/>
    <w:tmpl w:val="14BAA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575376"/>
    <w:multiLevelType w:val="hybridMultilevel"/>
    <w:tmpl w:val="B9D0F8B8"/>
    <w:lvl w:ilvl="0" w:tplc="944A3F36">
      <w:numFmt w:val="bullet"/>
      <w:lvlText w:val="•"/>
      <w:lvlJc w:val="left"/>
      <w:pPr>
        <w:ind w:left="720" w:hanging="360"/>
      </w:pPr>
      <w:rPr>
        <w:rFonts w:ascii="Times New Roman" w:eastAsia="Calibri" w:hAnsi="Times New Roman" w:cs="Times New Roman" w:hint="default"/>
      </w:rPr>
    </w:lvl>
    <w:lvl w:ilvl="1" w:tplc="6ECAD77E">
      <w:numFmt w:val="bullet"/>
      <w:lvlText w:val=""/>
      <w:lvlJc w:val="left"/>
      <w:pPr>
        <w:ind w:left="1440" w:hanging="360"/>
      </w:pPr>
      <w:rPr>
        <w:rFonts w:ascii="Symbol" w:eastAsia="Calibri" w:hAnsi="Symbol"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8304DA"/>
    <w:multiLevelType w:val="hybridMultilevel"/>
    <w:tmpl w:val="B19420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A03D5A"/>
    <w:multiLevelType w:val="hybridMultilevel"/>
    <w:tmpl w:val="A8100822"/>
    <w:lvl w:ilvl="0" w:tplc="944A3F3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B07368"/>
    <w:multiLevelType w:val="hybridMultilevel"/>
    <w:tmpl w:val="4D16D480"/>
    <w:lvl w:ilvl="0" w:tplc="944A3F3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660685"/>
    <w:multiLevelType w:val="hybridMultilevel"/>
    <w:tmpl w:val="B882C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9" w15:restartNumberingAfterBreak="0">
    <w:nsid w:val="2F297242"/>
    <w:multiLevelType w:val="hybridMultilevel"/>
    <w:tmpl w:val="BC2A34B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E659A8"/>
    <w:multiLevelType w:val="hybridMultilevel"/>
    <w:tmpl w:val="BBDEE57E"/>
    <w:lvl w:ilvl="0" w:tplc="944A3F3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8B6F46"/>
    <w:multiLevelType w:val="hybridMultilevel"/>
    <w:tmpl w:val="E5847A68"/>
    <w:lvl w:ilvl="0" w:tplc="041D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E520E0"/>
    <w:multiLevelType w:val="hybridMultilevel"/>
    <w:tmpl w:val="B21A1BE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A3150EA"/>
    <w:multiLevelType w:val="hybridMultilevel"/>
    <w:tmpl w:val="AEE6328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5B523A8"/>
    <w:multiLevelType w:val="hybridMultilevel"/>
    <w:tmpl w:val="0ABC51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E21326C"/>
    <w:multiLevelType w:val="hybridMultilevel"/>
    <w:tmpl w:val="2A729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480F55"/>
    <w:multiLevelType w:val="hybridMultilevel"/>
    <w:tmpl w:val="E9E82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E40D7B"/>
    <w:multiLevelType w:val="hybridMultilevel"/>
    <w:tmpl w:val="C60662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933044"/>
    <w:multiLevelType w:val="hybridMultilevel"/>
    <w:tmpl w:val="D26E5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5548244">
    <w:abstractNumId w:val="1"/>
  </w:num>
  <w:num w:numId="2" w16cid:durableId="1823887912">
    <w:abstractNumId w:val="8"/>
  </w:num>
  <w:num w:numId="3" w16cid:durableId="1521116365">
    <w:abstractNumId w:val="10"/>
  </w:num>
  <w:num w:numId="4" w16cid:durableId="650332288">
    <w:abstractNumId w:val="13"/>
  </w:num>
  <w:num w:numId="5" w16cid:durableId="1608123559">
    <w:abstractNumId w:val="16"/>
  </w:num>
  <w:num w:numId="6" w16cid:durableId="127405099">
    <w:abstractNumId w:val="21"/>
  </w:num>
  <w:num w:numId="7" w16cid:durableId="322243502">
    <w:abstractNumId w:val="3"/>
  </w:num>
  <w:num w:numId="8" w16cid:durableId="211818090">
    <w:abstractNumId w:val="5"/>
  </w:num>
  <w:num w:numId="9" w16cid:durableId="1181697089">
    <w:abstractNumId w:val="11"/>
  </w:num>
  <w:num w:numId="10" w16cid:durableId="2013532488">
    <w:abstractNumId w:val="6"/>
  </w:num>
  <w:num w:numId="11" w16cid:durableId="1431202126">
    <w:abstractNumId w:val="7"/>
  </w:num>
  <w:num w:numId="12" w16cid:durableId="1857839249">
    <w:abstractNumId w:val="15"/>
  </w:num>
  <w:num w:numId="13" w16cid:durableId="1462724681">
    <w:abstractNumId w:val="20"/>
  </w:num>
  <w:num w:numId="14" w16cid:durableId="1765564405">
    <w:abstractNumId w:val="2"/>
  </w:num>
  <w:num w:numId="15" w16cid:durableId="1762489828">
    <w:abstractNumId w:val="17"/>
  </w:num>
  <w:num w:numId="16" w16cid:durableId="748773618">
    <w:abstractNumId w:val="12"/>
  </w:num>
  <w:num w:numId="17" w16cid:durableId="314841091">
    <w:abstractNumId w:val="14"/>
  </w:num>
  <w:num w:numId="18" w16cid:durableId="305279298">
    <w:abstractNumId w:val="9"/>
  </w:num>
  <w:num w:numId="19" w16cid:durableId="246232507">
    <w:abstractNumId w:val="19"/>
  </w:num>
  <w:num w:numId="20" w16cid:durableId="1543517150">
    <w:abstractNumId w:val="0"/>
  </w:num>
  <w:num w:numId="21" w16cid:durableId="593633095">
    <w:abstractNumId w:val="4"/>
  </w:num>
  <w:num w:numId="22" w16cid:durableId="4842020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93"/>
    <w:rsid w:val="0000436E"/>
    <w:rsid w:val="00047DF9"/>
    <w:rsid w:val="00052DF7"/>
    <w:rsid w:val="00092854"/>
    <w:rsid w:val="000F2C8A"/>
    <w:rsid w:val="00103FF1"/>
    <w:rsid w:val="001400D2"/>
    <w:rsid w:val="0015326A"/>
    <w:rsid w:val="001579A4"/>
    <w:rsid w:val="00181D49"/>
    <w:rsid w:val="00184F17"/>
    <w:rsid w:val="001C4377"/>
    <w:rsid w:val="001E4CBA"/>
    <w:rsid w:val="00291AF3"/>
    <w:rsid w:val="002D3AAC"/>
    <w:rsid w:val="002E31FC"/>
    <w:rsid w:val="002F7AF9"/>
    <w:rsid w:val="00307063"/>
    <w:rsid w:val="003102FB"/>
    <w:rsid w:val="003269E0"/>
    <w:rsid w:val="003555BA"/>
    <w:rsid w:val="00362712"/>
    <w:rsid w:val="003661CE"/>
    <w:rsid w:val="003755A6"/>
    <w:rsid w:val="003834A1"/>
    <w:rsid w:val="003F474E"/>
    <w:rsid w:val="003F57BA"/>
    <w:rsid w:val="00413391"/>
    <w:rsid w:val="00416F6A"/>
    <w:rsid w:val="0045079D"/>
    <w:rsid w:val="00461D9B"/>
    <w:rsid w:val="004B2666"/>
    <w:rsid w:val="004B2C32"/>
    <w:rsid w:val="004C592E"/>
    <w:rsid w:val="004F13F9"/>
    <w:rsid w:val="004F7234"/>
    <w:rsid w:val="005245D8"/>
    <w:rsid w:val="0055033A"/>
    <w:rsid w:val="0058767D"/>
    <w:rsid w:val="005A6A64"/>
    <w:rsid w:val="005A799A"/>
    <w:rsid w:val="00624693"/>
    <w:rsid w:val="00627D42"/>
    <w:rsid w:val="0066250E"/>
    <w:rsid w:val="00665008"/>
    <w:rsid w:val="00723A1A"/>
    <w:rsid w:val="00752613"/>
    <w:rsid w:val="00753F13"/>
    <w:rsid w:val="007637F1"/>
    <w:rsid w:val="007A4D6F"/>
    <w:rsid w:val="007B41D1"/>
    <w:rsid w:val="007D7AE2"/>
    <w:rsid w:val="007D7D19"/>
    <w:rsid w:val="007F64D4"/>
    <w:rsid w:val="0086321F"/>
    <w:rsid w:val="00875924"/>
    <w:rsid w:val="00886583"/>
    <w:rsid w:val="008A4346"/>
    <w:rsid w:val="008A4E9E"/>
    <w:rsid w:val="008B5235"/>
    <w:rsid w:val="008B6E2C"/>
    <w:rsid w:val="008C56A1"/>
    <w:rsid w:val="008D2298"/>
    <w:rsid w:val="008E178D"/>
    <w:rsid w:val="0090097F"/>
    <w:rsid w:val="00923540"/>
    <w:rsid w:val="009250C1"/>
    <w:rsid w:val="00961EDA"/>
    <w:rsid w:val="00973F36"/>
    <w:rsid w:val="00997CDA"/>
    <w:rsid w:val="009A5F07"/>
    <w:rsid w:val="00A06AF4"/>
    <w:rsid w:val="00A20A26"/>
    <w:rsid w:val="00A20DE9"/>
    <w:rsid w:val="00A34C50"/>
    <w:rsid w:val="00A37A6A"/>
    <w:rsid w:val="00A533F3"/>
    <w:rsid w:val="00A75784"/>
    <w:rsid w:val="00A82A00"/>
    <w:rsid w:val="00AA7320"/>
    <w:rsid w:val="00AC00EB"/>
    <w:rsid w:val="00AD09A3"/>
    <w:rsid w:val="00AE31CA"/>
    <w:rsid w:val="00B3619D"/>
    <w:rsid w:val="00B4414A"/>
    <w:rsid w:val="00B65A99"/>
    <w:rsid w:val="00B73AC6"/>
    <w:rsid w:val="00B76EB2"/>
    <w:rsid w:val="00BA7BE0"/>
    <w:rsid w:val="00BB0105"/>
    <w:rsid w:val="00BD5973"/>
    <w:rsid w:val="00BF09B2"/>
    <w:rsid w:val="00C16D55"/>
    <w:rsid w:val="00C47FB8"/>
    <w:rsid w:val="00C50796"/>
    <w:rsid w:val="00C50DE1"/>
    <w:rsid w:val="00CD3B6A"/>
    <w:rsid w:val="00D22CD7"/>
    <w:rsid w:val="00D451AB"/>
    <w:rsid w:val="00D62B44"/>
    <w:rsid w:val="00D64133"/>
    <w:rsid w:val="00D80FAA"/>
    <w:rsid w:val="00D81DB3"/>
    <w:rsid w:val="00DC5492"/>
    <w:rsid w:val="00DD55C1"/>
    <w:rsid w:val="00DD78E7"/>
    <w:rsid w:val="00DD7DDC"/>
    <w:rsid w:val="00DE1BF5"/>
    <w:rsid w:val="00E240A7"/>
    <w:rsid w:val="00E501B7"/>
    <w:rsid w:val="00E871E3"/>
    <w:rsid w:val="00E97346"/>
    <w:rsid w:val="00EA4737"/>
    <w:rsid w:val="00ED5CE2"/>
    <w:rsid w:val="00EE1117"/>
    <w:rsid w:val="00F14A56"/>
    <w:rsid w:val="00F1621E"/>
    <w:rsid w:val="00F27082"/>
    <w:rsid w:val="00F30FA7"/>
    <w:rsid w:val="00F65E7A"/>
    <w:rsid w:val="00F6616E"/>
    <w:rsid w:val="00F81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7B0E2"/>
  <w15:chartTrackingRefBased/>
  <w15:docId w15:val="{3785555C-B3E7-469E-9454-92B87F26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3834A1"/>
    <w:pPr>
      <w:outlineLvl w:val="2"/>
    </w:pPr>
    <w:rPr>
      <w:rFonts w:ascii="Arial" w:eastAsia="Times New Roman" w:hAnsi="Arial"/>
      <w:b/>
      <w:bCs/>
      <w:sz w:val="24"/>
    </w:rPr>
  </w:style>
  <w:style w:type="paragraph" w:styleId="Rubrik4">
    <w:name w:val="heading 4"/>
    <w:basedOn w:val="Normal"/>
    <w:next w:val="Normal"/>
    <w:link w:val="Rubrik4Char"/>
    <w:uiPriority w:val="9"/>
    <w:unhideWhenUsed/>
    <w:qFormat/>
    <w:rsid w:val="003834A1"/>
    <w:pPr>
      <w:outlineLvl w:val="3"/>
    </w:pPr>
    <w:rPr>
      <w:rFonts w:ascii="Arial" w:eastAsia="Times New Roman" w:hAnsi="Arial"/>
      <w:b/>
      <w:bCs/>
      <w:i/>
      <w:i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3834A1"/>
    <w:rPr>
      <w:rFonts w:ascii="Arial" w:eastAsia="Times New Roman" w:hAnsi="Arial" w:cs="Times New Roman"/>
      <w:b/>
      <w:bCs/>
      <w:color w:val="000000"/>
      <w:sz w:val="24"/>
    </w:rPr>
  </w:style>
  <w:style w:type="character" w:customStyle="1" w:styleId="Rubrik4Char">
    <w:name w:val="Rubrik 4 Char"/>
    <w:basedOn w:val="Standardstycketeckensnitt"/>
    <w:link w:val="Rubrik4"/>
    <w:uiPriority w:val="9"/>
    <w:rsid w:val="003834A1"/>
    <w:rPr>
      <w:rFonts w:ascii="Arial" w:eastAsia="Times New Roman" w:hAnsi="Arial" w:cs="Times New Roman"/>
      <w:b/>
      <w:bCs/>
      <w:i/>
      <w:iCs/>
      <w:color w:val="000000"/>
      <w:lang w:eastAsia="sv-SE"/>
    </w:rPr>
  </w:style>
  <w:style w:type="paragraph" w:styleId="Liststycke">
    <w:name w:val="List Paragraph"/>
    <w:basedOn w:val="Normal"/>
    <w:link w:val="ListstyckeChar"/>
    <w:uiPriority w:val="34"/>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87592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75924"/>
    <w:rPr>
      <w:rFonts w:ascii="Times New Roman" w:eastAsia="Calibri" w:hAnsi="Times New Roman" w:cs="Times New Roman"/>
      <w:color w:val="000000"/>
      <w:sz w:val="20"/>
      <w:szCs w:val="20"/>
    </w:rPr>
  </w:style>
  <w:style w:type="character" w:styleId="Fotnotsreferens">
    <w:name w:val="footnote reference"/>
    <w:basedOn w:val="Standardstycketeckensnitt"/>
    <w:uiPriority w:val="99"/>
    <w:semiHidden/>
    <w:unhideWhenUsed/>
    <w:rsid w:val="00875924"/>
    <w:rPr>
      <w:vertAlign w:val="superscript"/>
    </w:rPr>
  </w:style>
  <w:style w:type="character" w:styleId="Hyperlnk">
    <w:name w:val="Hyperlink"/>
    <w:basedOn w:val="Standardstycketeckensnitt"/>
    <w:uiPriority w:val="99"/>
    <w:unhideWhenUsed/>
    <w:rsid w:val="00875924"/>
    <w:rPr>
      <w:color w:val="0563C1" w:themeColor="hyperlink"/>
      <w:u w:val="single"/>
    </w:rPr>
  </w:style>
  <w:style w:type="character" w:styleId="Olstomnmnande">
    <w:name w:val="Unresolved Mention"/>
    <w:basedOn w:val="Standardstycketeckensnitt"/>
    <w:uiPriority w:val="99"/>
    <w:semiHidden/>
    <w:unhideWhenUsed/>
    <w:rsid w:val="0087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3603">
      <w:bodyDiv w:val="1"/>
      <w:marLeft w:val="0"/>
      <w:marRight w:val="0"/>
      <w:marTop w:val="0"/>
      <w:marBottom w:val="0"/>
      <w:divBdr>
        <w:top w:val="none" w:sz="0" w:space="0" w:color="auto"/>
        <w:left w:val="none" w:sz="0" w:space="0" w:color="auto"/>
        <w:bottom w:val="none" w:sz="0" w:space="0" w:color="auto"/>
        <w:right w:val="none" w:sz="0" w:space="0" w:color="auto"/>
      </w:divBdr>
    </w:div>
    <w:div w:id="171795597">
      <w:bodyDiv w:val="1"/>
      <w:marLeft w:val="0"/>
      <w:marRight w:val="0"/>
      <w:marTop w:val="0"/>
      <w:marBottom w:val="0"/>
      <w:divBdr>
        <w:top w:val="none" w:sz="0" w:space="0" w:color="auto"/>
        <w:left w:val="none" w:sz="0" w:space="0" w:color="auto"/>
        <w:bottom w:val="none" w:sz="0" w:space="0" w:color="auto"/>
        <w:right w:val="none" w:sz="0" w:space="0" w:color="auto"/>
      </w:divBdr>
    </w:div>
    <w:div w:id="704602147">
      <w:bodyDiv w:val="1"/>
      <w:marLeft w:val="0"/>
      <w:marRight w:val="0"/>
      <w:marTop w:val="0"/>
      <w:marBottom w:val="0"/>
      <w:divBdr>
        <w:top w:val="none" w:sz="0" w:space="0" w:color="auto"/>
        <w:left w:val="none" w:sz="0" w:space="0" w:color="auto"/>
        <w:bottom w:val="none" w:sz="0" w:space="0" w:color="auto"/>
        <w:right w:val="none" w:sz="0" w:space="0" w:color="auto"/>
      </w:divBdr>
    </w:div>
    <w:div w:id="1177427717">
      <w:bodyDiv w:val="1"/>
      <w:marLeft w:val="0"/>
      <w:marRight w:val="0"/>
      <w:marTop w:val="0"/>
      <w:marBottom w:val="0"/>
      <w:divBdr>
        <w:top w:val="none" w:sz="0" w:space="0" w:color="auto"/>
        <w:left w:val="none" w:sz="0" w:space="0" w:color="auto"/>
        <w:bottom w:val="none" w:sz="0" w:space="0" w:color="auto"/>
        <w:right w:val="none" w:sz="0" w:space="0" w:color="auto"/>
      </w:divBdr>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 w:id="1679960573">
      <w:bodyDiv w:val="1"/>
      <w:marLeft w:val="0"/>
      <w:marRight w:val="0"/>
      <w:marTop w:val="0"/>
      <w:marBottom w:val="0"/>
      <w:divBdr>
        <w:top w:val="none" w:sz="0" w:space="0" w:color="auto"/>
        <w:left w:val="none" w:sz="0" w:space="0" w:color="auto"/>
        <w:bottom w:val="none" w:sz="0" w:space="0" w:color="auto"/>
        <w:right w:val="none" w:sz="0" w:space="0" w:color="auto"/>
      </w:divBdr>
    </w:div>
    <w:div w:id="1813596546">
      <w:bodyDiv w:val="1"/>
      <w:marLeft w:val="0"/>
      <w:marRight w:val="0"/>
      <w:marTop w:val="0"/>
      <w:marBottom w:val="0"/>
      <w:divBdr>
        <w:top w:val="none" w:sz="0" w:space="0" w:color="auto"/>
        <w:left w:val="none" w:sz="0" w:space="0" w:color="auto"/>
        <w:bottom w:val="none" w:sz="0" w:space="0" w:color="auto"/>
        <w:right w:val="none" w:sz="0" w:space="0" w:color="auto"/>
      </w:divBdr>
    </w:div>
    <w:div w:id="18737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bguides.princeton.edu/c.php?g=1101388&amp;p=80317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35E3BEB2904614A3F304350753A9C5"/>
        <w:category>
          <w:name w:val="Allmänt"/>
          <w:gallery w:val="placeholder"/>
        </w:category>
        <w:types>
          <w:type w:val="bbPlcHdr"/>
        </w:types>
        <w:behaviors>
          <w:behavior w:val="content"/>
        </w:behaviors>
        <w:guid w:val="{C8684305-8E51-4F64-863C-F83A9D73D95C}"/>
      </w:docPartPr>
      <w:docPartBody>
        <w:p w:rsidR="009B2073" w:rsidRDefault="009B2073">
          <w:pPr>
            <w:pStyle w:val="EB35E3BEB2904614A3F304350753A9C5"/>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73"/>
    <w:rsid w:val="003755A6"/>
    <w:rsid w:val="00413391"/>
    <w:rsid w:val="009B2073"/>
    <w:rsid w:val="00C01CA4"/>
    <w:rsid w:val="00ED5CE2"/>
    <w:rsid w:val="00F27082"/>
    <w:rsid w:val="00F53A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B35E3BEB2904614A3F304350753A9C5">
    <w:name w:val="EB35E3BEB2904614A3F304350753A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72e6be-13ae-43da-a38a-232b29a04746" xsi:nil="true"/>
    <BeHDa_Sorteringsordning xmlns="bd72e6be-13ae-43da-a38a-232b29a04746" xsi:nil="true"/>
    <BeHDa_Diarienummer xmlns="bd72e6be-13ae-43da-a38a-232b29a04746" xsi:nil="true"/>
    <BeHDa_Beslutsdatum xmlns="bd72e6be-13ae-43da-a38a-232b29a04746" xsi:nil="true"/>
    <BeHDa_Dokumenttyp xmlns="bd72e6be-13ae-43da-a38a-232b29a04746" xsi:nil="true"/>
    <BeHDa_Ursprungswebb xmlns="bd72e6be-13ae-43da-a38a-232b29a04746">
      <Url xsi:nil="true"/>
      <Description xsi:nil="true"/>
    </BeHDa_Ursprungswebb>
    <p6f9e56d757b45a6bde4de29e723f0d7 xmlns="bd72e6be-13ae-43da-a38a-232b29a04746">
      <Terms xmlns="http://schemas.microsoft.com/office/infopath/2007/PartnerControls"/>
    </p6f9e56d757b45a6bde4de29e723f0d7>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C6DC03A30C9D14D936E958178E7510F" ma:contentTypeVersion="14" ma:contentTypeDescription="Skapa ett nytt dokument." ma:contentTypeScope="" ma:versionID="945a22cff06a930dea888d97113d9b46">
  <xsd:schema xmlns:xsd="http://www.w3.org/2001/XMLSchema" xmlns:xs="http://www.w3.org/2001/XMLSchema" xmlns:p="http://schemas.microsoft.com/office/2006/metadata/properties" xmlns:ns2="bd72e6be-13ae-43da-a38a-232b29a04746" xmlns:ns3="6c164d4a-d6c9-455f-8fc3-45f91cef1803" targetNamespace="http://schemas.microsoft.com/office/2006/metadata/properties" ma:root="true" ma:fieldsID="75f6fbf5012db52eb3667af061195552" ns2:_="" ns3:_="">
    <xsd:import namespace="bd72e6be-13ae-43da-a38a-232b29a04746"/>
    <xsd:import namespace="6c164d4a-d6c9-455f-8fc3-45f91cef1803"/>
    <xsd:element name="properties">
      <xsd:complexType>
        <xsd:sequence>
          <xsd:element name="documentManagement">
            <xsd:complexType>
              <xsd:all>
                <xsd:element ref="ns2:BeHDa_Sorteringsordning" minOccurs="0"/>
                <xsd:element ref="ns2:p6f9e56d757b45a6bde4de29e723f0d7" minOccurs="0"/>
                <xsd:element ref="ns2:TaxCatchAll" minOccurs="0"/>
                <xsd:element ref="ns3:MediaServiceMetadata" minOccurs="0"/>
                <xsd:element ref="ns3:MediaServiceFastMetadata" minOccurs="0"/>
                <xsd:element ref="ns2:BeHDa_Dokumenttyp" minOccurs="0"/>
                <xsd:element ref="ns2:BeHDa_Diarienummer" minOccurs="0"/>
                <xsd:element ref="ns2:BeHDa_Beslutsdatum" minOccurs="0"/>
                <xsd:element ref="ns3:MediaServiceSearchProperties" minOccurs="0"/>
                <xsd:element ref="ns2:BeHDa_Ursprungswebb"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e6be-13ae-43da-a38a-232b29a04746" elementFormDefault="qualified">
    <xsd:import namespace="http://schemas.microsoft.com/office/2006/documentManagement/types"/>
    <xsd:import namespace="http://schemas.microsoft.com/office/infopath/2007/PartnerControls"/>
    <xsd:element name="BeHDa_Sorteringsordning" ma:index="8" nillable="true" ma:displayName="Sorteringsordning" ma:internalName="BeHDa_Sorteringsordning">
      <xsd:simpleType>
        <xsd:restriction base="dms:Number"/>
      </xsd:simpleType>
    </xsd:element>
    <xsd:element name="p6f9e56d757b45a6bde4de29e723f0d7" ma:index="10" nillable="true" ma:taxonomy="true" ma:internalName="p6f9e56d757b45a6bde4de29e723f0d7" ma:taxonomyFieldName="BeHDa_Dokumenttyp_Tax" ma:displayName="Dokumenttyp" ma:fieldId="{96f9e56d-757b-45a6-bde4-de29e723f0d7}" ma:sspId="2e8987a6-c1bb-4d45-96f2-f973512b71dc" ma:termSetId="5af78825-a386-4dfb-bc4b-2d98dcef38c9"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7ff780b-9477-4a89-90ef-0aea95e6e40c}" ma:internalName="TaxCatchAll" ma:showField="CatchAllData" ma:web="bd72e6be-13ae-43da-a38a-232b29a04746">
      <xsd:complexType>
        <xsd:complexContent>
          <xsd:extension base="dms:MultiChoiceLookup">
            <xsd:sequence>
              <xsd:element name="Value" type="dms:Lookup" maxOccurs="unbounded" minOccurs="0" nillable="true"/>
            </xsd:sequence>
          </xsd:extension>
        </xsd:complexContent>
      </xsd:complexType>
    </xsd:element>
    <xsd:element name="BeHDa_Dokumenttyp" ma:index="14" nillable="true" ma:displayName="Dokumenttyp gammal" ma:internalName="BeHDa_Dokumenttyp">
      <xsd:simpleType>
        <xsd:restriction base="dms:Choice">
          <xsd:enumeration value="Beslut"/>
          <xsd:enumeration value="Brev"/>
          <xsd:enumeration value="PM"/>
          <xsd:enumeration value="Policy"/>
          <xsd:enumeration value="Protokoll"/>
        </xsd:restriction>
      </xsd:simpleType>
    </xsd:element>
    <xsd:element name="BeHDa_Diarienummer" ma:index="15" nillable="true" ma:displayName="Diarienummer" ma:internalName="BeHDa_Diarienummer">
      <xsd:simpleType>
        <xsd:restriction base="dms:Text"/>
      </xsd:simpleType>
    </xsd:element>
    <xsd:element name="BeHDa_Beslutsdatum" ma:index="16" nillable="true" ma:displayName="Beslutsdatum" ma:internalName="BeHDa_Beslutsdatum">
      <xsd:simpleType>
        <xsd:restriction base="dms:DateTime"/>
      </xsd:simpleType>
    </xsd:element>
    <xsd:element name="BeHDa_Ursprungswebb" ma:index="18" nillable="true" ma:displayName="Ursprungswebb" ma:internalName="BeHDa_Ursprungswebb">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64d4a-d6c9-455f-8fc3-45f91cef180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E7741-CD3C-4283-AD3B-BD9BABD488D1}">
  <ds:schemaRefs>
    <ds:schemaRef ds:uri="http://schemas.openxmlformats.org/officeDocument/2006/bibliography"/>
  </ds:schemaRefs>
</ds:datastoreItem>
</file>

<file path=customXml/itemProps2.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3.xml><?xml version="1.0" encoding="utf-8"?>
<ds:datastoreItem xmlns:ds="http://schemas.openxmlformats.org/officeDocument/2006/customXml" ds:itemID="{830E3EF8-422A-4708-89EA-A5AA58B41D12}">
  <ds:schemaRefs>
    <ds:schemaRef ds:uri="http://schemas.microsoft.com/office/2006/metadata/properties"/>
    <ds:schemaRef ds:uri="http://schemas.microsoft.com/office/infopath/2007/PartnerControls"/>
    <ds:schemaRef ds:uri="bd72e6be-13ae-43da-a38a-232b29a04746"/>
  </ds:schemaRefs>
</ds:datastoreItem>
</file>

<file path=customXml/itemProps4.xml><?xml version="1.0" encoding="utf-8"?>
<ds:datastoreItem xmlns:ds="http://schemas.openxmlformats.org/officeDocument/2006/customXml" ds:itemID="{4D79271A-8876-4687-B28C-9D5A0C819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e6be-13ae-43da-a38a-232b29a04746"/>
    <ds:schemaRef ds:uri="6c164d4a-d6c9-455f-8fc3-45f91cef1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Template>
  <TotalTime>1</TotalTime>
  <Pages>1</Pages>
  <Words>2872</Words>
  <Characters>15224</Characters>
  <Application>Microsoft Office Word</Application>
  <DocSecurity>0</DocSecurity>
  <Lines>126</Lines>
  <Paragraphs>36</Paragraphs>
  <ScaleCrop>false</ScaleCrop>
  <HeadingPairs>
    <vt:vector size="2" baseType="variant">
      <vt:variant>
        <vt:lpstr>Rubrik</vt:lpstr>
      </vt:variant>
      <vt:variant>
        <vt:i4>1</vt:i4>
      </vt:variant>
    </vt:vector>
  </HeadingPairs>
  <TitlesOfParts>
    <vt:vector size="1" baseType="lpstr">
      <vt:lpstr>PM</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Fördelningsprinciper för forskningsanslaget 2026</dc:title>
  <dc:subject/>
  <dc:creator>Svante Fjelkner (HDa)</dc:creator>
  <cp:keywords/>
  <dc:description/>
  <cp:lastModifiedBy>Svante Fjelkner (HDa)</cp:lastModifiedBy>
  <cp:revision>3</cp:revision>
  <dcterms:created xsi:type="dcterms:W3CDTF">2024-11-05T12:39:00Z</dcterms:created>
  <dcterms:modified xsi:type="dcterms:W3CDTF">2024-11-25T12:54:00Z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0x010100EC6DC03A30C9D14D936E958178E7510F</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ies>
</file>